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3B09" w14:textId="77777777" w:rsidR="00014BEB" w:rsidRDefault="00014B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</w:rPr>
      </w:pPr>
    </w:p>
    <w:p w14:paraId="58D1C519" w14:textId="77777777" w:rsidR="00014BEB" w:rsidRPr="00584059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lang w:val="pt-BR"/>
        </w:rPr>
      </w:pPr>
      <w:r w:rsidRPr="00584059">
        <w:rPr>
          <w:rFonts w:ascii="Calibri" w:eastAsia="Calibri" w:hAnsi="Calibri" w:cs="Calibri"/>
          <w:b/>
          <w:color w:val="000000"/>
          <w:lang w:val="pt-BR"/>
        </w:rPr>
        <w:t xml:space="preserve">DOI: </w:t>
      </w:r>
      <w:r w:rsidRPr="00584059">
        <w:rPr>
          <w:rFonts w:ascii="Calibri" w:eastAsia="Calibri" w:hAnsi="Calibri" w:cs="Calibri"/>
          <w:b/>
          <w:lang w:val="pt-BR"/>
        </w:rPr>
        <w:t>10.58731/2965-0771.2025.58</w:t>
      </w:r>
    </w:p>
    <w:p w14:paraId="02834174" w14:textId="77777777" w:rsidR="00014BEB" w:rsidRPr="00584059" w:rsidRDefault="00014BEB">
      <w:pPr>
        <w:spacing w:line="276" w:lineRule="auto"/>
        <w:jc w:val="center"/>
        <w:rPr>
          <w:b/>
          <w:lang w:val="pt-BR"/>
        </w:rPr>
      </w:pPr>
    </w:p>
    <w:p w14:paraId="0072ABCD" w14:textId="77777777" w:rsidR="00014BEB" w:rsidRPr="00584059" w:rsidRDefault="00014BEB">
      <w:pPr>
        <w:spacing w:line="276" w:lineRule="auto"/>
        <w:jc w:val="center"/>
        <w:rPr>
          <w:b/>
          <w:lang w:val="pt-BR"/>
        </w:rPr>
      </w:pPr>
    </w:p>
    <w:p w14:paraId="4A3594D7" w14:textId="77777777" w:rsidR="00014BEB" w:rsidRPr="00584059" w:rsidRDefault="00000000">
      <w:pPr>
        <w:spacing w:before="240" w:after="240" w:line="360" w:lineRule="auto"/>
        <w:jc w:val="center"/>
        <w:rPr>
          <w:b/>
          <w:lang w:val="pt-BR"/>
        </w:rPr>
      </w:pPr>
      <w:r w:rsidRPr="00584059">
        <w:rPr>
          <w:b/>
          <w:lang w:val="pt-BR"/>
        </w:rPr>
        <w:t xml:space="preserve">IMPACTO DO CANABIDIOL, SUPORTE DIETÉTICO PROTEICO E DERIVADOS DE TETRAHIDROCANABINOL NO PROGNÓSTICO DE PACIENTES COM </w:t>
      </w:r>
      <w:proofErr w:type="gramStart"/>
      <w:r w:rsidRPr="00584059">
        <w:rPr>
          <w:b/>
          <w:lang w:val="pt-BR"/>
        </w:rPr>
        <w:t>IMUNOSSUPRESSÃO  E</w:t>
      </w:r>
      <w:proofErr w:type="gramEnd"/>
      <w:r w:rsidRPr="00584059">
        <w:rPr>
          <w:b/>
          <w:lang w:val="pt-BR"/>
        </w:rPr>
        <w:t xml:space="preserve"> CAQUEXIA ONCOLÓGICA GRAVE: UMA HIPÓTESE DE PLAUSIBILIDADE TERAPÊUTICA</w:t>
      </w:r>
    </w:p>
    <w:p w14:paraId="6B81E50F" w14:textId="77777777" w:rsidR="00014BEB" w:rsidRPr="00584059" w:rsidRDefault="00014BEB">
      <w:pPr>
        <w:spacing w:after="160" w:line="360" w:lineRule="auto"/>
        <w:jc w:val="center"/>
        <w:rPr>
          <w:b/>
          <w:lang w:val="pt-BR"/>
        </w:rPr>
      </w:pPr>
    </w:p>
    <w:p w14:paraId="713D64BC" w14:textId="77777777" w:rsidR="00014BEB" w:rsidRDefault="00000000">
      <w:pPr>
        <w:spacing w:after="160" w:line="360" w:lineRule="auto"/>
        <w:jc w:val="center"/>
        <w:rPr>
          <w:b/>
        </w:rPr>
      </w:pPr>
      <w:r>
        <w:rPr>
          <w:b/>
        </w:rPr>
        <w:t>IMPACT OF CANNABIDIOL, PROTEIN DIETARY SUPPORT AND TETRAHYDROCANANABINOL DERIVATIVES ON THE PROGNOSIS OF PATIENTS WITH IMMUNOSUPPRESSION AND SEVERE CANCER CACHEXIA: A HYPOTHESIS OF THERAPEUTIC PLAUSIBILITY</w:t>
      </w:r>
    </w:p>
    <w:p w14:paraId="5B4E7CE7" w14:textId="77777777" w:rsidR="00014BEB" w:rsidRDefault="00014BEB">
      <w:pPr>
        <w:spacing w:after="160" w:line="360" w:lineRule="auto"/>
        <w:jc w:val="center"/>
        <w:rPr>
          <w:b/>
        </w:rPr>
      </w:pPr>
    </w:p>
    <w:p w14:paraId="6D1A8674" w14:textId="77777777" w:rsidR="00014BEB" w:rsidRPr="00584059" w:rsidRDefault="00000000">
      <w:pPr>
        <w:spacing w:before="240" w:after="240" w:line="276" w:lineRule="auto"/>
        <w:jc w:val="center"/>
        <w:rPr>
          <w:color w:val="171717"/>
          <w:vertAlign w:val="superscript"/>
          <w:lang w:val="pt-BR"/>
        </w:rPr>
      </w:pPr>
      <w:r w:rsidRPr="00584059">
        <w:rPr>
          <w:color w:val="171717"/>
          <w:lang w:val="pt-BR"/>
        </w:rPr>
        <w:t xml:space="preserve">Walter Pereira </w:t>
      </w:r>
      <w:r w:rsidRPr="00584059">
        <w:rPr>
          <w:color w:val="171717"/>
          <w:vertAlign w:val="superscript"/>
          <w:lang w:val="pt-BR"/>
        </w:rPr>
        <w:t xml:space="preserve">1-3 </w:t>
      </w:r>
      <w:r w:rsidRPr="00584059">
        <w:rPr>
          <w:color w:val="171717"/>
          <w:lang w:val="pt-BR"/>
        </w:rPr>
        <w:t xml:space="preserve">Walter de Almeida </w:t>
      </w:r>
      <w:proofErr w:type="spellStart"/>
      <w:r w:rsidRPr="00584059">
        <w:rPr>
          <w:color w:val="171717"/>
          <w:lang w:val="pt-BR"/>
        </w:rPr>
        <w:t>Heidtmann</w:t>
      </w:r>
      <w:proofErr w:type="spellEnd"/>
      <w:r w:rsidRPr="00584059">
        <w:rPr>
          <w:color w:val="171717"/>
          <w:lang w:val="pt-BR"/>
        </w:rPr>
        <w:t xml:space="preserve"> </w:t>
      </w:r>
      <w:r w:rsidRPr="00584059">
        <w:rPr>
          <w:color w:val="171717"/>
          <w:vertAlign w:val="superscript"/>
          <w:lang w:val="pt-BR"/>
        </w:rPr>
        <w:t>3</w:t>
      </w:r>
    </w:p>
    <w:p w14:paraId="2DA4F67E" w14:textId="0B185CA4" w:rsidR="00014BEB" w:rsidRDefault="00000000">
      <w:pPr>
        <w:spacing w:before="240" w:after="240" w:line="276" w:lineRule="auto"/>
        <w:jc w:val="center"/>
        <w:rPr>
          <w:color w:val="171717"/>
        </w:rPr>
      </w:pPr>
      <w:r>
        <w:rPr>
          <w:color w:val="171717"/>
        </w:rPr>
        <w:t xml:space="preserve">Performance and health Science </w:t>
      </w:r>
      <w:proofErr w:type="spellStart"/>
      <w:r>
        <w:rPr>
          <w:color w:val="171717"/>
        </w:rPr>
        <w:t>usa</w:t>
      </w:r>
      <w:proofErr w:type="spellEnd"/>
      <w:r>
        <w:rPr>
          <w:color w:val="171717"/>
        </w:rPr>
        <w:t xml:space="preserve"> Corporation </w:t>
      </w:r>
      <w:r>
        <w:rPr>
          <w:color w:val="171717"/>
          <w:vertAlign w:val="superscript"/>
        </w:rPr>
        <w:t>1</w:t>
      </w:r>
      <w:r>
        <w:rPr>
          <w:color w:val="171717"/>
        </w:rPr>
        <w:t xml:space="preserve">; Time de </w:t>
      </w:r>
      <w:proofErr w:type="spellStart"/>
      <w:r>
        <w:rPr>
          <w:color w:val="171717"/>
        </w:rPr>
        <w:t>ciência</w:t>
      </w:r>
      <w:proofErr w:type="spellEnd"/>
      <w:r>
        <w:rPr>
          <w:color w:val="171717"/>
        </w:rPr>
        <w:t xml:space="preserve"> e performance Brasil</w:t>
      </w:r>
      <w:proofErr w:type="gramStart"/>
      <w:r>
        <w:rPr>
          <w:color w:val="171717"/>
          <w:vertAlign w:val="superscript"/>
        </w:rPr>
        <w:t>2.</w:t>
      </w:r>
      <w:r>
        <w:rPr>
          <w:color w:val="171717"/>
        </w:rPr>
        <w:t>.</w:t>
      </w:r>
      <w:proofErr w:type="gramEnd"/>
      <w:r>
        <w:rPr>
          <w:color w:val="171717"/>
        </w:rPr>
        <w:t xml:space="preserve"> </w:t>
      </w:r>
      <w:proofErr w:type="spellStart"/>
      <w:r>
        <w:rPr>
          <w:color w:val="171717"/>
        </w:rPr>
        <w:t>Inovattis</w:t>
      </w:r>
      <w:proofErr w:type="spellEnd"/>
      <w:r>
        <w:rPr>
          <w:color w:val="171717"/>
        </w:rPr>
        <w:t xml:space="preserve"> Health Science Br </w:t>
      </w:r>
      <w:r>
        <w:rPr>
          <w:color w:val="171717"/>
          <w:vertAlign w:val="superscript"/>
        </w:rPr>
        <w:t>3</w:t>
      </w:r>
    </w:p>
    <w:p w14:paraId="59604D07" w14:textId="77777777" w:rsidR="00584059" w:rsidRDefault="00584059">
      <w:pPr>
        <w:spacing w:before="240" w:after="240" w:line="276" w:lineRule="auto"/>
        <w:jc w:val="center"/>
        <w:rPr>
          <w:color w:val="171717"/>
        </w:rPr>
      </w:pPr>
    </w:p>
    <w:p w14:paraId="2C911E69" w14:textId="5E77F1D0" w:rsidR="00014BEB" w:rsidRDefault="00000000">
      <w:pPr>
        <w:spacing w:before="240" w:after="240" w:line="276" w:lineRule="auto"/>
        <w:jc w:val="center"/>
        <w:rPr>
          <w:lang w:val="pt-BR"/>
        </w:rPr>
      </w:pPr>
      <w:r w:rsidRPr="00584059">
        <w:rPr>
          <w:color w:val="171717"/>
          <w:lang w:val="pt-BR"/>
        </w:rPr>
        <w:t xml:space="preserve"> </w:t>
      </w:r>
      <w:r w:rsidRPr="00584059">
        <w:rPr>
          <w:color w:val="171717"/>
          <w:vertAlign w:val="superscript"/>
          <w:lang w:val="pt-BR"/>
        </w:rPr>
        <w:t xml:space="preserve">1-3 </w:t>
      </w:r>
      <w:r w:rsidRPr="00584059">
        <w:rPr>
          <w:color w:val="171717"/>
          <w:lang w:val="pt-BR"/>
        </w:rPr>
        <w:t xml:space="preserve">Mestre e Doutor em Medicina – Nefrologia. Diretor científico do centro de pesquisa e desenvolvimento Performance </w:t>
      </w:r>
      <w:proofErr w:type="spellStart"/>
      <w:r w:rsidRPr="00584059">
        <w:rPr>
          <w:color w:val="171717"/>
          <w:lang w:val="pt-BR"/>
        </w:rPr>
        <w:t>and</w:t>
      </w:r>
      <w:proofErr w:type="spellEnd"/>
      <w:r w:rsidRPr="00584059">
        <w:rPr>
          <w:color w:val="171717"/>
          <w:lang w:val="pt-BR"/>
        </w:rPr>
        <w:t xml:space="preserve"> </w:t>
      </w:r>
      <w:proofErr w:type="spellStart"/>
      <w:r w:rsidRPr="00584059">
        <w:rPr>
          <w:color w:val="171717"/>
          <w:lang w:val="pt-BR"/>
        </w:rPr>
        <w:t>health</w:t>
      </w:r>
      <w:proofErr w:type="spellEnd"/>
      <w:r w:rsidRPr="00584059">
        <w:rPr>
          <w:color w:val="171717"/>
          <w:lang w:val="pt-BR"/>
        </w:rPr>
        <w:t xml:space="preserve"> Science usa Corporation</w:t>
      </w:r>
      <w:r w:rsidRPr="00584059">
        <w:rPr>
          <w:lang w:val="pt-BR"/>
        </w:rPr>
        <w:t xml:space="preserve"> Saint Cloud, FL Estados Unidos</w:t>
      </w:r>
    </w:p>
    <w:p w14:paraId="0DA60BED" w14:textId="77777777" w:rsidR="00584059" w:rsidRPr="00584059" w:rsidRDefault="00584059">
      <w:pPr>
        <w:spacing w:before="240" w:after="240" w:line="276" w:lineRule="auto"/>
        <w:jc w:val="center"/>
        <w:rPr>
          <w:lang w:val="pt-BR"/>
        </w:rPr>
      </w:pPr>
    </w:p>
    <w:p w14:paraId="5648656E" w14:textId="77777777" w:rsidR="00014BEB" w:rsidRPr="00584059" w:rsidRDefault="00000000">
      <w:pPr>
        <w:spacing w:before="240" w:line="360" w:lineRule="auto"/>
        <w:jc w:val="center"/>
        <w:rPr>
          <w:lang w:val="pt-BR"/>
        </w:rPr>
      </w:pPr>
      <w:r w:rsidRPr="00584059">
        <w:rPr>
          <w:vertAlign w:val="superscript"/>
          <w:lang w:val="pt-BR"/>
        </w:rPr>
        <w:t>3</w:t>
      </w:r>
      <w:r w:rsidRPr="00584059">
        <w:rPr>
          <w:lang w:val="pt-BR"/>
        </w:rPr>
        <w:t xml:space="preserve">Diretor técnico </w:t>
      </w:r>
      <w:proofErr w:type="spellStart"/>
      <w:r w:rsidRPr="00584059">
        <w:rPr>
          <w:color w:val="171717"/>
          <w:lang w:val="pt-BR"/>
        </w:rPr>
        <w:t>Inovattis</w:t>
      </w:r>
      <w:proofErr w:type="spellEnd"/>
      <w:r w:rsidRPr="00584059">
        <w:rPr>
          <w:color w:val="171717"/>
          <w:lang w:val="pt-BR"/>
        </w:rPr>
        <w:t xml:space="preserve"> Health Science Brasil.</w:t>
      </w:r>
      <w:r w:rsidRPr="00584059">
        <w:rPr>
          <w:lang w:val="pt-BR"/>
        </w:rPr>
        <w:t xml:space="preserve"> Graduado em análise de informação, especialista superior em administração contábil, pós-graduando em bioestatística com ênfase em pesquisa e desenvolvimento científico.</w:t>
      </w:r>
    </w:p>
    <w:p w14:paraId="32680B26" w14:textId="77777777" w:rsidR="00014BEB" w:rsidRPr="00584059" w:rsidRDefault="00000000">
      <w:pPr>
        <w:spacing w:before="240" w:line="360" w:lineRule="auto"/>
        <w:jc w:val="both"/>
        <w:rPr>
          <w:b/>
          <w:sz w:val="20"/>
          <w:szCs w:val="20"/>
          <w:lang w:val="pt-BR"/>
        </w:rPr>
      </w:pPr>
      <w:r w:rsidRPr="00584059">
        <w:rPr>
          <w:b/>
          <w:sz w:val="20"/>
          <w:szCs w:val="20"/>
          <w:lang w:val="pt-BR"/>
        </w:rPr>
        <w:t xml:space="preserve"> </w:t>
      </w:r>
    </w:p>
    <w:p w14:paraId="5C8070A4" w14:textId="321A8CED" w:rsidR="00014BEB" w:rsidRPr="00584059" w:rsidRDefault="00000000" w:rsidP="00584059">
      <w:pPr>
        <w:rPr>
          <w:lang w:val="pt-BR"/>
        </w:rPr>
      </w:pPr>
      <w:r w:rsidRPr="00584059">
        <w:rPr>
          <w:lang w:val="pt-BR"/>
        </w:rPr>
        <w:t xml:space="preserve">Contato autor correspondente: </w:t>
      </w:r>
      <w:hyperlink r:id="rId7">
        <w:r w:rsidRPr="00584059">
          <w:rPr>
            <w:color w:val="1155CC"/>
            <w:u w:val="single"/>
            <w:lang w:val="pt-BR"/>
          </w:rPr>
          <w:t>waltersparta@performancehealthscience.com</w:t>
        </w:r>
      </w:hyperlink>
    </w:p>
    <w:p w14:paraId="466E3A7D" w14:textId="77777777" w:rsidR="00014BEB" w:rsidRPr="00584059" w:rsidRDefault="00000000" w:rsidP="00584059">
      <w:pPr>
        <w:rPr>
          <w:lang w:val="pt-BR"/>
        </w:rPr>
      </w:pPr>
      <w:r w:rsidRPr="00584059">
        <w:rPr>
          <w:lang w:val="pt-BR"/>
        </w:rPr>
        <w:t xml:space="preserve">Fone: 5511 948563477 </w:t>
      </w:r>
      <w:proofErr w:type="spellStart"/>
      <w:r w:rsidRPr="00584059">
        <w:rPr>
          <w:lang w:val="pt-BR"/>
        </w:rPr>
        <w:t>Brazil</w:t>
      </w:r>
      <w:proofErr w:type="spellEnd"/>
      <w:r w:rsidRPr="00584059">
        <w:rPr>
          <w:lang w:val="pt-BR"/>
        </w:rPr>
        <w:t xml:space="preserve"> +1 (213) 396-6899 EUA</w:t>
      </w:r>
    </w:p>
    <w:p w14:paraId="0DC6B15E" w14:textId="77777777" w:rsidR="00014BEB" w:rsidRPr="00584059" w:rsidRDefault="00000000" w:rsidP="00584059">
      <w:pPr>
        <w:rPr>
          <w:lang w:val="pt-BR"/>
        </w:rPr>
      </w:pPr>
      <w:r w:rsidRPr="00584059">
        <w:rPr>
          <w:lang w:val="pt-BR"/>
        </w:rPr>
        <w:t>4853 E IRLO BRONSON MEMORIAL RODOVIA #1038 SAINT CLOUD, FL 34771</w:t>
      </w:r>
    </w:p>
    <w:p w14:paraId="1A8F2277" w14:textId="77777777" w:rsidR="00014BEB" w:rsidRPr="00584059" w:rsidRDefault="00014BEB">
      <w:pPr>
        <w:spacing w:before="240" w:after="240"/>
        <w:ind w:firstLine="720"/>
        <w:jc w:val="center"/>
        <w:rPr>
          <w:lang w:val="pt-BR"/>
        </w:rPr>
      </w:pPr>
    </w:p>
    <w:p w14:paraId="0029F55E" w14:textId="77777777" w:rsidR="00014BEB" w:rsidRPr="00584059" w:rsidRDefault="00000000">
      <w:pPr>
        <w:spacing w:before="240" w:after="240" w:line="360" w:lineRule="auto"/>
        <w:jc w:val="both"/>
        <w:rPr>
          <w:b/>
          <w:lang w:val="pt-BR"/>
        </w:rPr>
      </w:pPr>
      <w:r w:rsidRPr="00584059">
        <w:rPr>
          <w:b/>
          <w:lang w:val="pt-BR"/>
        </w:rPr>
        <w:t>INTRODUÇÃO – PROBLEMA</w:t>
      </w:r>
    </w:p>
    <w:p w14:paraId="64B6CB39" w14:textId="77777777" w:rsidR="00014BEB" w:rsidRPr="00584059" w:rsidRDefault="00000000">
      <w:pPr>
        <w:spacing w:before="240" w:after="240" w:line="360" w:lineRule="auto"/>
        <w:ind w:firstLine="700"/>
        <w:jc w:val="both"/>
        <w:rPr>
          <w:b/>
          <w:lang w:val="pt-BR"/>
        </w:rPr>
      </w:pPr>
      <w:r w:rsidRPr="00584059">
        <w:rPr>
          <w:b/>
          <w:lang w:val="pt-BR"/>
        </w:rPr>
        <w:t xml:space="preserve"> </w:t>
      </w:r>
    </w:p>
    <w:p w14:paraId="539F2CC3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A perda de massa muscular (Figura 1) em pessoas com câncer é 10 vezes maior do que as observadas em idosos (1) e </w:t>
      </w:r>
      <w:proofErr w:type="spellStart"/>
      <w:r w:rsidRPr="00584059">
        <w:rPr>
          <w:lang w:val="pt-BR"/>
        </w:rPr>
        <w:t>e</w:t>
      </w:r>
      <w:proofErr w:type="spellEnd"/>
      <w:r w:rsidRPr="00584059">
        <w:rPr>
          <w:lang w:val="pt-BR"/>
        </w:rPr>
        <w:t xml:space="preserve"> está associada </w:t>
      </w:r>
      <w:proofErr w:type="gramStart"/>
      <w:r w:rsidRPr="00584059">
        <w:rPr>
          <w:lang w:val="pt-BR"/>
        </w:rPr>
        <w:t>à</w:t>
      </w:r>
      <w:proofErr w:type="gramEnd"/>
      <w:r w:rsidRPr="00584059">
        <w:rPr>
          <w:lang w:val="pt-BR"/>
        </w:rPr>
        <w:t xml:space="preserve"> um risco de mortalidade duplamente superior (2). A caquexia do câncer é caracterizada pelo desequilíbrio de proteína e energia, ingestão alimentar reduzida e metabolismo anormal, que resulta em diminuição da capacidade regenerativa dos músculos (3), afeta aproximadamente 70% dos pacientes e é responsável por até 22% das mortes (4). Efeitos metabólicos do tumor, inflamação sistêmica e toxicidade gastrointestinal, levam a perda muscular no câncer (5). Adicionalmente, o próprio tratamento de quimioterapia pode exacerbar a atrofia muscular e piorar o prognóstico (6).</w:t>
      </w:r>
    </w:p>
    <w:p w14:paraId="1C852203" w14:textId="77777777" w:rsidR="00014BEB" w:rsidRPr="00584059" w:rsidRDefault="00000000">
      <w:pPr>
        <w:spacing w:before="240" w:after="240" w:line="360" w:lineRule="auto"/>
        <w:jc w:val="center"/>
        <w:rPr>
          <w:sz w:val="20"/>
          <w:szCs w:val="20"/>
          <w:lang w:val="pt-BR"/>
        </w:rPr>
      </w:pPr>
      <w:r w:rsidRPr="00584059">
        <w:rPr>
          <w:sz w:val="20"/>
          <w:szCs w:val="20"/>
          <w:lang w:val="pt-BR"/>
        </w:rPr>
        <w:t xml:space="preserve"> </w:t>
      </w:r>
    </w:p>
    <w:p w14:paraId="3A769984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72EC4148" w14:textId="77777777" w:rsidR="00014BEB" w:rsidRDefault="00000000">
      <w:pPr>
        <w:spacing w:before="240" w:after="240" w:line="360" w:lineRule="auto"/>
        <w:jc w:val="center"/>
      </w:pPr>
      <w:r>
        <w:rPr>
          <w:noProof/>
        </w:rPr>
        <w:drawing>
          <wp:inline distT="114300" distB="114300" distL="114300" distR="114300" wp14:anchorId="51BBCC17" wp14:editId="2C918079">
            <wp:extent cx="5399730" cy="3022600"/>
            <wp:effectExtent l="0" t="0" r="0" b="0"/>
            <wp:docPr id="1073741858" name="image6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Diagram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91494F" w14:textId="77777777" w:rsidR="00014BEB" w:rsidRDefault="00000000">
      <w:pPr>
        <w:spacing w:before="240" w:after="240" w:line="360" w:lineRule="auto"/>
        <w:jc w:val="center"/>
      </w:pPr>
      <w:r>
        <w:t xml:space="preserve"> </w:t>
      </w:r>
    </w:p>
    <w:p w14:paraId="1CB65A1B" w14:textId="77777777" w:rsidR="00014BEB" w:rsidRPr="00584059" w:rsidRDefault="00000000">
      <w:pPr>
        <w:spacing w:before="240" w:after="240" w:line="360" w:lineRule="auto"/>
        <w:jc w:val="center"/>
        <w:rPr>
          <w:lang w:val="pt-BR"/>
        </w:rPr>
      </w:pPr>
      <w:r w:rsidRPr="00584059">
        <w:rPr>
          <w:lang w:val="pt-BR"/>
        </w:rPr>
        <w:t>Figura 1 - Mecanismos envolvidos no processo catabólico da caquexia do câncer.</w:t>
      </w:r>
    </w:p>
    <w:p w14:paraId="1AAB81C5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409E32BD" w14:textId="77777777" w:rsidR="00014BEB" w:rsidRDefault="00000000">
      <w:pPr>
        <w:spacing w:before="240" w:after="240" w:line="360" w:lineRule="auto"/>
        <w:jc w:val="both"/>
        <w:rPr>
          <w:b/>
        </w:rPr>
      </w:pPr>
      <w:r>
        <w:rPr>
          <w:b/>
        </w:rPr>
        <w:lastRenderedPageBreak/>
        <w:t>CBD – THC SUBSÍDIO CIENTÍFICO</w:t>
      </w:r>
    </w:p>
    <w:p w14:paraId="100D6424" w14:textId="77777777" w:rsidR="00014BEB" w:rsidRDefault="00000000">
      <w:pPr>
        <w:spacing w:before="240" w:after="240" w:line="360" w:lineRule="auto"/>
        <w:jc w:val="both"/>
      </w:pPr>
      <w:r>
        <w:t xml:space="preserve"> </w:t>
      </w:r>
    </w:p>
    <w:p w14:paraId="6CC766A2" w14:textId="77777777" w:rsidR="00014BEB" w:rsidRDefault="00000000">
      <w:pPr>
        <w:spacing w:before="240" w:after="240" w:line="360" w:lineRule="auto"/>
        <w:jc w:val="both"/>
      </w:pPr>
      <w:r>
        <w:rPr>
          <w:noProof/>
        </w:rPr>
        <w:drawing>
          <wp:inline distT="114300" distB="114300" distL="114300" distR="114300" wp14:anchorId="64FA7965" wp14:editId="781016EB">
            <wp:extent cx="5399730" cy="2273300"/>
            <wp:effectExtent l="0" t="0" r="0" b="0"/>
            <wp:docPr id="1073741861" name="image4.jpg" descr="fundo de conceito médico de estrutura molecular de cannabis 1966646 Vetor  no Vecteez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undo de conceito médico de estrutura molecular de cannabis 1966646 Vetor  no Vecteez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27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B93F7A" w14:textId="77777777" w:rsidR="00014BEB" w:rsidRDefault="00000000">
      <w:pPr>
        <w:spacing w:before="240" w:after="240" w:line="360" w:lineRule="auto"/>
        <w:jc w:val="both"/>
      </w:pPr>
      <w:r>
        <w:t xml:space="preserve"> </w:t>
      </w:r>
    </w:p>
    <w:p w14:paraId="35C4F114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O fitocanabinoide, canabidiol (CBD), é um composto </w:t>
      </w:r>
      <w:proofErr w:type="spellStart"/>
      <w:r w:rsidRPr="00584059">
        <w:rPr>
          <w:lang w:val="pt-BR"/>
        </w:rPr>
        <w:t>terpenofenólico</w:t>
      </w:r>
      <w:proofErr w:type="spellEnd"/>
      <w:r w:rsidRPr="00584059">
        <w:rPr>
          <w:lang w:val="pt-BR"/>
        </w:rPr>
        <w:t xml:space="preserve"> com vários alvos moleculares. Evidências sugerem que o CBD tem efeito terapêutico; neuroprotetor, cardioprotetor e anti-inflamatório. Porém, a maioria dos estudos são em modelo experimental ou pré-clínicos e poucos ensaios clínicos controlados, foram conduzidos para elucidar seu real potencial terapêutico (7).</w:t>
      </w:r>
    </w:p>
    <w:p w14:paraId="5F616A39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>Derivados de canabinoides estão sendo usados ​​no campo de cuidados paliativos para pacientes oncológicos e são aplicados ​​para tratar dor, náusea, vômito, anorexia, caquexia e modulação positiva do humor (8), sendo que, a combinação THC/CBD vem sendo considerada bem-sucedida para náuseas e vômitos induzidos por quimioterapia refratária (9).</w:t>
      </w:r>
    </w:p>
    <w:p w14:paraId="3735045E" w14:textId="77777777" w:rsidR="00014BEB" w:rsidRPr="00584059" w:rsidRDefault="00000000" w:rsidP="00584059">
      <w:pPr>
        <w:spacing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>Atualmente, não existem grandes estudos clínicos de eficácia sobre o tratamento com CBD para câncer (10). Porém, o CBD tem sido utilizado de forma coadjuvante, para atenuar efeitos colaterais, tais como, náuseas e vômitos induzidos por quimioterapia (11).</w:t>
      </w:r>
    </w:p>
    <w:p w14:paraId="36E21ED0" w14:textId="77777777" w:rsidR="00584059" w:rsidRDefault="00000000" w:rsidP="00584059">
      <w:pPr>
        <w:spacing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745BCD08" w14:textId="234205B8" w:rsidR="00014BEB" w:rsidRPr="00584059" w:rsidRDefault="00000000" w:rsidP="00584059">
      <w:pPr>
        <w:spacing w:line="360" w:lineRule="auto"/>
        <w:jc w:val="both"/>
        <w:rPr>
          <w:b/>
          <w:lang w:val="pt-BR"/>
        </w:rPr>
      </w:pPr>
      <w:r w:rsidRPr="00584059">
        <w:rPr>
          <w:lang w:val="pt-BR"/>
        </w:rPr>
        <w:t xml:space="preserve"> </w:t>
      </w:r>
      <w:r w:rsidRPr="00584059">
        <w:rPr>
          <w:b/>
          <w:lang w:val="pt-BR"/>
        </w:rPr>
        <w:t>HIPÓTESE DE PLAUSIBILIDADE</w:t>
      </w:r>
    </w:p>
    <w:p w14:paraId="20CDF932" w14:textId="42407615" w:rsidR="00014BEB" w:rsidRPr="00584059" w:rsidRDefault="00000000" w:rsidP="00584059">
      <w:pPr>
        <w:spacing w:before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  <w:r w:rsidR="00584059">
        <w:rPr>
          <w:lang w:val="pt-BR"/>
        </w:rPr>
        <w:tab/>
      </w:r>
      <w:r w:rsidRPr="00584059">
        <w:rPr>
          <w:lang w:val="pt-BR"/>
        </w:rPr>
        <w:t xml:space="preserve">A inflamação desempenha papel importante na progressão do tumor, seja danificando tecidos residentes, facilitando a </w:t>
      </w:r>
      <w:proofErr w:type="spellStart"/>
      <w:r w:rsidRPr="00584059">
        <w:rPr>
          <w:lang w:val="pt-BR"/>
        </w:rPr>
        <w:t>tumorigênese</w:t>
      </w:r>
      <w:proofErr w:type="spellEnd"/>
      <w:r w:rsidRPr="00584059">
        <w:rPr>
          <w:lang w:val="pt-BR"/>
        </w:rPr>
        <w:t xml:space="preserve">, ou lutando contra o câncer após uma ativação imunológica apropriada (12). Adicionalmente, novas descobertas </w:t>
      </w:r>
      <w:r w:rsidRPr="00584059">
        <w:rPr>
          <w:lang w:val="pt-BR"/>
        </w:rPr>
        <w:lastRenderedPageBreak/>
        <w:t xml:space="preserve">apontam que o agravamento de sintomas do câncer pode acentuar a inflamação (13). Exemplos incluem a elevação da proteína </w:t>
      </w:r>
      <w:proofErr w:type="spellStart"/>
      <w:r w:rsidRPr="00584059">
        <w:rPr>
          <w:lang w:val="pt-BR"/>
        </w:rPr>
        <w:t>C-reativa</w:t>
      </w:r>
      <w:proofErr w:type="spellEnd"/>
      <w:r w:rsidRPr="00584059">
        <w:rPr>
          <w:lang w:val="pt-BR"/>
        </w:rPr>
        <w:t xml:space="preserve"> (PCR), fator de necrose tumoral (TNF)-</w:t>
      </w:r>
      <w:r>
        <w:t>α</w:t>
      </w:r>
      <w:r w:rsidRPr="00584059">
        <w:rPr>
          <w:lang w:val="pt-BR"/>
        </w:rPr>
        <w:t xml:space="preserve"> (14) e antagonista do receptor de interleucina 1 (IL1-RA) durante a radioterapia em pacientes com câncer de mama e próstata (15), além de IL-6, receptores solúveis de IL-1 e IL-10 (16). Reforçando o que foi dito anteriormente, a caquexia é uma síndrome metabólica extremamente complexa que resulta em perda de peso grave, anorexia e ocorre em diversos tipos de câncer, além de estar presente em outras condições inflamatórias crônicas (17). Recentemente, um estudo de </w:t>
      </w:r>
      <w:proofErr w:type="spellStart"/>
      <w:r w:rsidRPr="00584059">
        <w:rPr>
          <w:lang w:val="pt-BR"/>
        </w:rPr>
        <w:t>Abbass</w:t>
      </w:r>
      <w:proofErr w:type="spellEnd"/>
      <w:r w:rsidRPr="00584059">
        <w:rPr>
          <w:lang w:val="pt-BR"/>
        </w:rPr>
        <w:t xml:space="preserve"> et al. 2019 (18), revelou uma correlação negativa entre inflamação sistêmica e índice muscular, em pacientes com vários tipos de câncer, aumentando ainda mais a ligação entre inflamação e perda de massa muscular na caquexia e desfechos negativos (18).</w:t>
      </w:r>
    </w:p>
    <w:p w14:paraId="18DDBD0C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Os músculos são o maior reservatório de aminoácidos, que normalmente são mobilizados pelo aumento da proteólise de proteínas musculares, </w:t>
      </w:r>
      <w:proofErr w:type="gramStart"/>
      <w:r w:rsidRPr="00584059">
        <w:rPr>
          <w:lang w:val="pt-BR"/>
        </w:rPr>
        <w:t>afim</w:t>
      </w:r>
      <w:proofErr w:type="gramEnd"/>
      <w:r w:rsidRPr="00584059">
        <w:rPr>
          <w:lang w:val="pt-BR"/>
        </w:rPr>
        <w:t xml:space="preserve"> de fornecer energia síntese de </w:t>
      </w:r>
      <w:proofErr w:type="spellStart"/>
      <w:r w:rsidRPr="00584059">
        <w:rPr>
          <w:lang w:val="pt-BR"/>
        </w:rPr>
        <w:t>proteíca</w:t>
      </w:r>
      <w:proofErr w:type="spellEnd"/>
      <w:r w:rsidRPr="00584059">
        <w:rPr>
          <w:lang w:val="pt-BR"/>
        </w:rPr>
        <w:t xml:space="preserve"> para outros órgãos vitais (19). A degradação da proteína muscular aumenta fisiologicamente, durante períodos de jejum, mas também é ativada durante estados catabólicos patológicos que acompanham a inflamação e a caquexia (20). A literatura é unanime ao afirmar que modificações na dieta, como o uso de suplementos alimentares, podem aliviar e aumentar a eficácia dos tratamentos contra o câncer (21, 22). Embora, ainda </w:t>
      </w:r>
      <w:proofErr w:type="spellStart"/>
      <w:r w:rsidRPr="00584059">
        <w:rPr>
          <w:lang w:val="pt-BR"/>
        </w:rPr>
        <w:t>existam</w:t>
      </w:r>
      <w:proofErr w:type="spellEnd"/>
      <w:r w:rsidRPr="00584059">
        <w:rPr>
          <w:lang w:val="pt-BR"/>
        </w:rPr>
        <w:t xml:space="preserve"> poucas diretrizes clínicas, ou recomendações consistentes para reforçar o uso de suplementos no câncer, os suplementos alimentares são supostamente utilizados ​​por sobreviventes, inclusive com a intenção de melhorar os sintomas e resultados (23). Estudos bem elaborados apontam que o aporte de proteína do soro do leite, pode melhorar o estado nutricional de pacientes com câncer avançado, desnutridos e que recebem quimioterapia (24).</w:t>
      </w:r>
    </w:p>
    <w:p w14:paraId="0DAA3816" w14:textId="3CA4AE06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Com o objetivo de aumentar a ingestão de energia e proteína, um grande ensaio clínico, randomizou pacientes hospitalizados, com risco acentuado de desnutrição, para uma equipe de nutrição. Neste trabalho, os pacientes acompanhados pela equipe de suporte nutricional que atingiram a ingestão alvo de proteínas apresentaram nível de sobrevivência significativamente maior do que o grupo de controle (25). Partido do ponto lógico, no qual seria implausível acreditar que, a desnutrição progressiva, poderia trazer benefícios, uma regra inicial de suporte nutricional é aplicada, assim que o diagnóstico de desnutrição é detectado (21). A recuperação precoce e contínua do estado nutricional, </w:t>
      </w:r>
      <w:r w:rsidRPr="00584059">
        <w:rPr>
          <w:lang w:val="pt-BR"/>
        </w:rPr>
        <w:lastRenderedPageBreak/>
        <w:t>incluindo requisitos elevados de proteína (21, 26), é essencial para minimizar resultados negativos frequentemente observados no câncer. Diante disso, evitar o catabolismo muscular, com adequação nutricional individualizada, trata-se de um ponto comum entre os tratamentos bem-sucedidos, afinal, pode aliviar o nível dos sintomas, melhorar a saúde e a qualidade de vida, além de apoiar</w:t>
      </w:r>
      <w:r w:rsidR="00584059">
        <w:rPr>
          <w:lang w:val="pt-BR"/>
        </w:rPr>
        <w:t xml:space="preserve"> a sobrevivência (</w:t>
      </w:r>
      <w:r w:rsidRPr="00584059">
        <w:rPr>
          <w:lang w:val="pt-BR"/>
        </w:rPr>
        <w:t>27-29), figuras 2 e 3.</w:t>
      </w:r>
    </w:p>
    <w:p w14:paraId="56366118" w14:textId="77777777" w:rsidR="00014BEB" w:rsidRPr="00584059" w:rsidRDefault="00000000">
      <w:pPr>
        <w:spacing w:before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 </w:t>
      </w:r>
    </w:p>
    <w:p w14:paraId="7F37C7A5" w14:textId="77777777" w:rsidR="00014BEB" w:rsidRPr="00584059" w:rsidRDefault="00000000">
      <w:pPr>
        <w:spacing w:before="240" w:after="240" w:line="360" w:lineRule="auto"/>
        <w:jc w:val="both"/>
        <w:rPr>
          <w:b/>
          <w:lang w:val="pt-BR"/>
        </w:rPr>
      </w:pPr>
      <w:r w:rsidRPr="00584059">
        <w:rPr>
          <w:b/>
          <w:lang w:val="pt-BR"/>
        </w:rPr>
        <w:t xml:space="preserve">DESENHO HIPOTÉTICO – PROBLEMA </w:t>
      </w:r>
      <w:proofErr w:type="spellStart"/>
      <w:r w:rsidRPr="00584059">
        <w:rPr>
          <w:b/>
          <w:lang w:val="pt-BR"/>
        </w:rPr>
        <w:t>vs</w:t>
      </w:r>
      <w:proofErr w:type="spellEnd"/>
      <w:r w:rsidRPr="00584059">
        <w:rPr>
          <w:b/>
          <w:lang w:val="pt-BR"/>
        </w:rPr>
        <w:t xml:space="preserve"> HIPÓTESE.</w:t>
      </w:r>
    </w:p>
    <w:p w14:paraId="19F2F915" w14:textId="77777777" w:rsidR="00014BEB" w:rsidRDefault="00000000">
      <w:pPr>
        <w:spacing w:before="240" w:after="240" w:line="360" w:lineRule="auto"/>
        <w:jc w:val="both"/>
      </w:pPr>
      <w:r w:rsidRPr="00584059">
        <w:rPr>
          <w:lang w:val="pt-BR"/>
        </w:rPr>
        <w:t xml:space="preserve"> </w:t>
      </w:r>
      <w:r>
        <w:rPr>
          <w:noProof/>
        </w:rPr>
        <w:drawing>
          <wp:inline distT="114300" distB="114300" distL="114300" distR="114300" wp14:anchorId="1C4C1F8C" wp14:editId="2F63002C">
            <wp:extent cx="5397500" cy="2565400"/>
            <wp:effectExtent l="0" t="0" r="0" b="0"/>
            <wp:docPr id="1073741857" name="image8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Diagrama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56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4A6316" w14:textId="77777777" w:rsidR="00014BEB" w:rsidRPr="00584059" w:rsidRDefault="00000000">
      <w:pPr>
        <w:spacing w:before="240" w:line="276" w:lineRule="auto"/>
        <w:jc w:val="both"/>
        <w:rPr>
          <w:i/>
          <w:lang w:val="pt-BR"/>
        </w:rPr>
      </w:pPr>
      <w:r w:rsidRPr="00584059">
        <w:rPr>
          <w:b/>
          <w:lang w:val="pt-BR"/>
        </w:rPr>
        <w:t>Figura 2:</w:t>
      </w:r>
      <w:r w:rsidRPr="00584059">
        <w:rPr>
          <w:lang w:val="pt-BR"/>
        </w:rPr>
        <w:t xml:space="preserve">  A sinalização inflamatória do tumor, estimula o catabolismo muscular. </w:t>
      </w:r>
      <w:r w:rsidRPr="00584059">
        <w:rPr>
          <w:i/>
          <w:lang w:val="pt-BR"/>
        </w:rPr>
        <w:t xml:space="preserve">Suporte </w:t>
      </w:r>
      <w:proofErr w:type="spellStart"/>
      <w:r w:rsidRPr="00584059">
        <w:rPr>
          <w:i/>
          <w:lang w:val="pt-BR"/>
        </w:rPr>
        <w:t>proteíco</w:t>
      </w:r>
      <w:proofErr w:type="spellEnd"/>
      <w:r w:rsidRPr="00584059">
        <w:rPr>
          <w:i/>
          <w:lang w:val="pt-BR"/>
        </w:rPr>
        <w:t xml:space="preserve"> durante o tratamento pode inibir a caquexia e recuperar o estado nutricional.</w:t>
      </w:r>
    </w:p>
    <w:p w14:paraId="55C80F45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76FEA075" w14:textId="77777777" w:rsidR="00014BEB" w:rsidRPr="00584059" w:rsidRDefault="00014BEB">
      <w:pPr>
        <w:spacing w:before="240" w:after="240" w:line="360" w:lineRule="auto"/>
        <w:jc w:val="both"/>
        <w:rPr>
          <w:lang w:val="pt-BR"/>
        </w:rPr>
      </w:pPr>
    </w:p>
    <w:p w14:paraId="215E92E7" w14:textId="77777777" w:rsidR="00014BEB" w:rsidRPr="00584059" w:rsidRDefault="00014BEB">
      <w:pPr>
        <w:spacing w:before="240" w:after="240" w:line="360" w:lineRule="auto"/>
        <w:jc w:val="both"/>
        <w:rPr>
          <w:lang w:val="pt-BR"/>
        </w:rPr>
      </w:pPr>
    </w:p>
    <w:p w14:paraId="44367F0F" w14:textId="77777777" w:rsidR="00014BEB" w:rsidRDefault="00000000">
      <w:pPr>
        <w:spacing w:before="240" w:after="240" w:line="360" w:lineRule="auto"/>
        <w:jc w:val="both"/>
      </w:pPr>
      <w:r>
        <w:rPr>
          <w:noProof/>
        </w:rPr>
        <w:lastRenderedPageBreak/>
        <w:drawing>
          <wp:inline distT="114300" distB="114300" distL="114300" distR="114300" wp14:anchorId="040A6850" wp14:editId="1E506DC0">
            <wp:extent cx="5397500" cy="3568700"/>
            <wp:effectExtent l="0" t="0" r="0" b="0"/>
            <wp:docPr id="1073741862" name="image5.jpg" descr="Gráfico, Gráfico de linh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Gráfico, Gráfico de linhas&#10;&#10;Descrição gerada automa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56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B545CD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b/>
          <w:lang w:val="pt-BR"/>
        </w:rPr>
        <w:t>Figura 3:</w:t>
      </w:r>
      <w:r w:rsidRPr="00584059">
        <w:rPr>
          <w:lang w:val="pt-BR"/>
        </w:rPr>
        <w:t xml:space="preserve"> Depressão e distúrbio de ansiedade, são comuns em pacientes com câncer. Adaptado (30).</w:t>
      </w:r>
    </w:p>
    <w:p w14:paraId="3A43C422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54C80D2A" w14:textId="7E320545" w:rsidR="00014BEB" w:rsidRPr="00584059" w:rsidRDefault="00000000">
      <w:pPr>
        <w:spacing w:before="240" w:after="240" w:line="360" w:lineRule="auto"/>
        <w:ind w:firstLine="720"/>
        <w:jc w:val="both"/>
        <w:rPr>
          <w:lang w:val="pt-BR"/>
        </w:rPr>
      </w:pPr>
      <w:r w:rsidRPr="00584059">
        <w:rPr>
          <w:lang w:val="pt-BR"/>
        </w:rPr>
        <w:t>Pesquisas sobre os efeitos do cannabis na depressão continuam em estágios iniciais, mas alguns resultados promissores foram vistos. Estudos apontam que o THC, um dos principais componentes da maconha, pode reduzir a inflamação nas células cerebrais e aumentar os níveis de serotonina, o que ajuda a regular o humor e o comportamento. Um trabalho de</w:t>
      </w:r>
      <w:hyperlink r:id="rId12">
        <w:r w:rsidRPr="00584059">
          <w:rPr>
            <w:lang w:val="pt-BR"/>
          </w:rPr>
          <w:t xml:space="preserve"> </w:t>
        </w:r>
      </w:hyperlink>
      <w:proofErr w:type="spellStart"/>
      <w:r w:rsidRPr="00584059">
        <w:rPr>
          <w:lang w:val="pt-BR"/>
        </w:rPr>
        <w:t>Xiaoxue</w:t>
      </w:r>
      <w:proofErr w:type="spellEnd"/>
      <w:r w:rsidRPr="00584059">
        <w:rPr>
          <w:lang w:val="pt-BR"/>
        </w:rPr>
        <w:t xml:space="preserve"> et al. (31), concluiu que o THC em particular está positivamente correlacionado com uma redução imediata na intensidade dos sentimentos depressivos. Adicionalmente, outros estudos, porém em modelo animal, mostraram que, como os antidepressivos convencionais, o THC afeta a geração de dopamina, serotonina e norepinefrina (32, 33), figura 4.</w:t>
      </w:r>
    </w:p>
    <w:p w14:paraId="19ADE2AC" w14:textId="77777777" w:rsidR="00014BEB" w:rsidRDefault="00000000">
      <w:pPr>
        <w:spacing w:before="240" w:after="240" w:line="360" w:lineRule="auto"/>
        <w:jc w:val="both"/>
      </w:pPr>
      <w:r>
        <w:rPr>
          <w:noProof/>
        </w:rPr>
        <w:lastRenderedPageBreak/>
        <w:drawing>
          <wp:inline distT="114300" distB="114300" distL="114300" distR="114300" wp14:anchorId="0E8F2A6E" wp14:editId="255B82F9">
            <wp:extent cx="5397500" cy="2692400"/>
            <wp:effectExtent l="0" t="0" r="0" b="0"/>
            <wp:docPr id="1073741859" name="image7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Diagrama&#10;&#10;Descrição gerad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D8EDE" w14:textId="77777777" w:rsidR="00014BEB" w:rsidRPr="00584059" w:rsidRDefault="00000000">
      <w:pPr>
        <w:spacing w:before="240" w:line="360" w:lineRule="auto"/>
        <w:jc w:val="both"/>
        <w:rPr>
          <w:lang w:val="pt-BR"/>
        </w:rPr>
      </w:pPr>
      <w:r w:rsidRPr="00584059">
        <w:rPr>
          <w:b/>
          <w:lang w:val="pt-BR"/>
        </w:rPr>
        <w:t>Figura 4:</w:t>
      </w:r>
      <w:r w:rsidRPr="00584059">
        <w:rPr>
          <w:lang w:val="pt-BR"/>
        </w:rPr>
        <w:t xml:space="preserve"> CBD/THC, podem atenuar a ansiedade e a depressão, durante o tratamento.</w:t>
      </w:r>
    </w:p>
    <w:p w14:paraId="54BE9ED5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2FE03675" w14:textId="77777777" w:rsidR="00014BEB" w:rsidRDefault="00000000">
      <w:pPr>
        <w:spacing w:before="240" w:after="240" w:line="360" w:lineRule="auto"/>
        <w:jc w:val="both"/>
      </w:pPr>
      <w:r>
        <w:rPr>
          <w:noProof/>
        </w:rPr>
        <w:drawing>
          <wp:inline distT="114300" distB="114300" distL="114300" distR="114300" wp14:anchorId="42BC4919" wp14:editId="4C4D183A">
            <wp:extent cx="5399730" cy="2870200"/>
            <wp:effectExtent l="0" t="0" r="0" b="0"/>
            <wp:docPr id="1073741856" name="image3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iagrama&#10;&#10;Descrição gerada automa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6019E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b/>
          <w:lang w:val="pt-BR"/>
        </w:rPr>
        <w:t>Figura 5:</w:t>
      </w:r>
      <w:r w:rsidRPr="00584059">
        <w:rPr>
          <w:lang w:val="pt-BR"/>
        </w:rPr>
        <w:t xml:space="preserve"> Pacientes em tratamento de quimioterapia sofrem diversos efeitos colaterais, que dificultam o tratamento e por vezes pioram o prognóstico.</w:t>
      </w:r>
    </w:p>
    <w:p w14:paraId="60C8DF71" w14:textId="77777777" w:rsidR="00014BEB" w:rsidRPr="00584059" w:rsidRDefault="00000000">
      <w:pPr>
        <w:spacing w:before="240" w:after="240" w:line="360" w:lineRule="auto"/>
        <w:jc w:val="both"/>
        <w:rPr>
          <w:i/>
          <w:lang w:val="pt-BR"/>
        </w:rPr>
      </w:pPr>
      <w:r w:rsidRPr="00584059">
        <w:rPr>
          <w:i/>
          <w:lang w:val="pt-BR"/>
        </w:rPr>
        <w:t>Estudos sugerem que a cannabis medicinal na forma de tetrahidrocanabinol (THC) pode reduzir náuseas e vômitos induzidos por quimioterapia</w:t>
      </w:r>
    </w:p>
    <w:p w14:paraId="1530D21D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0CF950C5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lastRenderedPageBreak/>
        <w:t xml:space="preserve">Náuseas e vômitos induzidos por quimioterapia são desencadeados por uma infinidade de receptores para neurotransmissores, incluindo serotonina, dopamina, substância P e, potencialmente, o receptor canabinoide CB1 (34). Apesar da adesão às diretrizes </w:t>
      </w:r>
      <w:proofErr w:type="spellStart"/>
      <w:r w:rsidRPr="00584059">
        <w:rPr>
          <w:lang w:val="pt-BR"/>
        </w:rPr>
        <w:t>antieméticas</w:t>
      </w:r>
      <w:proofErr w:type="spellEnd"/>
      <w:r w:rsidRPr="00584059">
        <w:rPr>
          <w:lang w:val="pt-BR"/>
        </w:rPr>
        <w:t xml:space="preserve"> para quimioterapia de alto ou moderado risco emético, estudos de coorte observacionais apontam que 46%–57% dos pacientes apresentam náuseas significativas e 9%–37% apresentam vômitos (35). Estudos sugerem que a cannabis medicinal na forma de tetrahidrocanabinol, (THC), pode reduzir náuseas e vômitos induzidos por quimioterapia, enquanto, a adição de canabidiol (CBD) pode melhorar a eficácia e a tolerância durante o tratamento (36). Recentemente, </w:t>
      </w:r>
      <w:proofErr w:type="spellStart"/>
      <w:r w:rsidRPr="00584059">
        <w:rPr>
          <w:lang w:val="pt-BR"/>
        </w:rPr>
        <w:t>Grimison</w:t>
      </w:r>
      <w:proofErr w:type="spellEnd"/>
      <w:r w:rsidRPr="00584059">
        <w:rPr>
          <w:lang w:val="pt-BR"/>
        </w:rPr>
        <w:t xml:space="preserve"> et al. 2020, avaliaram o extrato oral de cannabis THC:CBD para náuseas e vômitos induzidos por quimioterapia refratária. Neste ensaio clínico randomizado, controlado por placebo, os envolvidos concluíram que, a adição de THC:CBD oral, foi associada a menos náuseas e vômitos, sendo que a maioria dos participantes aderiu de forma superior ao THC:CBD, comparado com placebo (37).</w:t>
      </w:r>
    </w:p>
    <w:p w14:paraId="00589225" w14:textId="77777777" w:rsidR="00584059" w:rsidRDefault="00000000" w:rsidP="00584059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2E1557E2" w14:textId="4AD59F99" w:rsidR="00014BEB" w:rsidRPr="00584059" w:rsidRDefault="00000000" w:rsidP="00584059">
      <w:pPr>
        <w:spacing w:before="240" w:after="240" w:line="360" w:lineRule="auto"/>
        <w:jc w:val="both"/>
        <w:rPr>
          <w:b/>
          <w:lang w:val="pt-BR"/>
        </w:rPr>
      </w:pPr>
      <w:r w:rsidRPr="00584059">
        <w:rPr>
          <w:b/>
          <w:lang w:val="pt-BR"/>
        </w:rPr>
        <w:t>PARECER – JUSTIFICATIVA</w:t>
      </w:r>
    </w:p>
    <w:p w14:paraId="4363D851" w14:textId="01636AF1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 A preservação da massa muscular é vital para a manutenção da vida. Principalmente no cenário oncológico, onde evidenciamos mudanças abruptas no comportamento alimentar. Essas alterações são justificadas inicialmente pelo dano emocional, ocasionado após o diagnóstico. Além dos efeitos colaterais comuns presentes no tratamento. Dentre eles, inapetência e enjoo, que são fatores determinantes para o sucesso na adesão. </w:t>
      </w:r>
      <w:proofErr w:type="spellStart"/>
      <w:r w:rsidRPr="00584059">
        <w:rPr>
          <w:lang w:val="pt-BR"/>
        </w:rPr>
        <w:t>Per-se</w:t>
      </w:r>
      <w:proofErr w:type="spellEnd"/>
      <w:r w:rsidRPr="00584059">
        <w:rPr>
          <w:lang w:val="pt-BR"/>
        </w:rPr>
        <w:t>, a própria degradação muscular inflamatória ativada em ambiente tumoral, ou proveniente de imunossupressão oncológica, são fatores comprometedores, diretamente associados a prognóstico ruim e mortalidade acentuada.</w:t>
      </w:r>
    </w:p>
    <w:p w14:paraId="686E7E54" w14:textId="77777777" w:rsidR="00014BEB" w:rsidRPr="00584059" w:rsidRDefault="00000000">
      <w:pPr>
        <w:spacing w:before="240" w:line="360" w:lineRule="auto"/>
        <w:ind w:firstLine="700"/>
        <w:jc w:val="both"/>
        <w:rPr>
          <w:lang w:val="pt-BR"/>
        </w:rPr>
      </w:pPr>
      <w:r w:rsidRPr="00584059">
        <w:rPr>
          <w:lang w:val="pt-BR"/>
        </w:rPr>
        <w:t xml:space="preserve">Aqui, nós abordamos hipoteticamente o potencial efeito terapêutico de aporte suplementar proteico ajustado, adicionado a derivados de CBD e THC, a fim de controlar o balanço nitrogenado proteico, reduzir a inflamação sistêmica e modular o humor em pacientes oncológicos. Atenuar efeitos colaterais comuns do tratamento; (Quimio e Radioterapia), sobre catabolismo muscular e imunossupressão oncológica, antes do quadro de caquexia evoluir. Este artigo de opinião é uma revisão narrativa da </w:t>
      </w:r>
      <w:r w:rsidRPr="00584059">
        <w:rPr>
          <w:lang w:val="pt-BR"/>
        </w:rPr>
        <w:lastRenderedPageBreak/>
        <w:t>compreensão fisiológica do problema e evidencia possíveis alvos terapêuticos de simples aplicação e alta plausibilidade de eficácia clínica.</w:t>
      </w:r>
    </w:p>
    <w:p w14:paraId="71F153B9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 w:rsidRPr="00584059">
        <w:rPr>
          <w:lang w:val="pt-BR"/>
        </w:rPr>
        <w:t xml:space="preserve"> </w:t>
      </w:r>
    </w:p>
    <w:p w14:paraId="5225E009" w14:textId="77777777" w:rsidR="00014BEB" w:rsidRPr="00584059" w:rsidRDefault="00000000">
      <w:pPr>
        <w:spacing w:before="240" w:after="240" w:line="360" w:lineRule="auto"/>
        <w:jc w:val="both"/>
        <w:rPr>
          <w:b/>
          <w:lang w:val="pt-BR"/>
        </w:rPr>
      </w:pPr>
      <w:r w:rsidRPr="00584059">
        <w:rPr>
          <w:b/>
          <w:lang w:val="pt-BR"/>
        </w:rPr>
        <w:t>REFERÊNCIAS</w:t>
      </w:r>
    </w:p>
    <w:p w14:paraId="12108E9E" w14:textId="77777777" w:rsidR="00014BEB" w:rsidRDefault="00000000">
      <w:pPr>
        <w:spacing w:before="240" w:line="360" w:lineRule="auto"/>
        <w:jc w:val="both"/>
      </w:pPr>
      <w:r w:rsidRPr="00584059">
        <w:rPr>
          <w:lang w:val="pt-BR"/>
        </w:rPr>
        <w:t xml:space="preserve">1.     </w:t>
      </w:r>
      <w:r w:rsidRPr="00584059">
        <w:rPr>
          <w:lang w:val="pt-BR"/>
        </w:rPr>
        <w:tab/>
        <w:t xml:space="preserve">Bauer J, Morley JE, </w:t>
      </w:r>
      <w:proofErr w:type="spellStart"/>
      <w:r w:rsidRPr="00584059">
        <w:rPr>
          <w:lang w:val="pt-BR"/>
        </w:rPr>
        <w:t>Schols</w:t>
      </w:r>
      <w:proofErr w:type="spellEnd"/>
      <w:r w:rsidRPr="00584059">
        <w:rPr>
          <w:lang w:val="pt-BR"/>
        </w:rPr>
        <w:t xml:space="preserve"> AMWJ, Ferrucci L, Cruz‐</w:t>
      </w:r>
      <w:proofErr w:type="spellStart"/>
      <w:r w:rsidRPr="00584059">
        <w:rPr>
          <w:lang w:val="pt-BR"/>
        </w:rPr>
        <w:t>Jentoft</w:t>
      </w:r>
      <w:proofErr w:type="spellEnd"/>
      <w:r w:rsidRPr="00584059">
        <w:rPr>
          <w:lang w:val="pt-BR"/>
        </w:rPr>
        <w:t xml:space="preserve"> AJ, Dent E, et al. </w:t>
      </w:r>
      <w:r>
        <w:t>Sarcopenia: a time for action. An SCWD position paper. Journal of cachexia, sarcopenia and muscle. 2019;10(5):956-61.</w:t>
      </w:r>
    </w:p>
    <w:p w14:paraId="203BF29B" w14:textId="77777777" w:rsidR="00014BEB" w:rsidRDefault="00000000">
      <w:pPr>
        <w:spacing w:before="240" w:line="360" w:lineRule="auto"/>
        <w:jc w:val="both"/>
      </w:pPr>
      <w:r>
        <w:t>2</w:t>
      </w:r>
      <w:proofErr w:type="gramStart"/>
      <w:r>
        <w:t xml:space="preserve">.     </w:t>
      </w:r>
      <w:r>
        <w:tab/>
        <w:t>Prado</w:t>
      </w:r>
      <w:proofErr w:type="gramEnd"/>
      <w:r>
        <w:t xml:space="preserve"> CMM, Lieffers JR, McCargar LJ, Reiman T, Sawyer MB, Martin L, et al. Prevalence and clinical implications of sarcopenic obesity in patients with solid </w:t>
      </w:r>
      <w:proofErr w:type="spellStart"/>
      <w:r>
        <w:t>tumours</w:t>
      </w:r>
      <w:proofErr w:type="spellEnd"/>
      <w:r>
        <w:t xml:space="preserve"> of the respiratory and gastrointestinal tracts: a population-based study. The lancet oncology. 2008;9(7):629-35.</w:t>
      </w:r>
    </w:p>
    <w:p w14:paraId="36D6E86B" w14:textId="77777777" w:rsidR="00014BEB" w:rsidRDefault="00000000">
      <w:pPr>
        <w:spacing w:before="240" w:line="360" w:lineRule="auto"/>
        <w:jc w:val="both"/>
      </w:pPr>
      <w:r>
        <w:t>3</w:t>
      </w:r>
      <w:proofErr w:type="gramStart"/>
      <w:r>
        <w:t xml:space="preserve">.     </w:t>
      </w:r>
      <w:r>
        <w:tab/>
        <w:t>Zhang</w:t>
      </w:r>
      <w:proofErr w:type="gramEnd"/>
      <w:r>
        <w:t xml:space="preserve"> Q, Song MM, Zhang X, Ding JS, Ruan GT, Zhang XW, et al. Association of systemic inflammation with survival in patients with cancer cachexia: results from a </w:t>
      </w:r>
      <w:proofErr w:type="spellStart"/>
      <w:r>
        <w:t>multicentre</w:t>
      </w:r>
      <w:proofErr w:type="spellEnd"/>
      <w:r>
        <w:t xml:space="preserve"> cohort study. J Cachexia Sarcopenia Muscle. 2021;12(6):1466-76.</w:t>
      </w:r>
    </w:p>
    <w:p w14:paraId="6D9F2EFB" w14:textId="77777777" w:rsidR="00014BEB" w:rsidRDefault="00000000">
      <w:pPr>
        <w:spacing w:before="240" w:line="360" w:lineRule="auto"/>
        <w:jc w:val="both"/>
      </w:pPr>
      <w:r>
        <w:t xml:space="preserve">4.     </w:t>
      </w:r>
      <w:r>
        <w:tab/>
        <w:t xml:space="preserve">Thibaut MM, </w:t>
      </w:r>
      <w:proofErr w:type="spellStart"/>
      <w:r>
        <w:t>Sboarina</w:t>
      </w:r>
      <w:proofErr w:type="spellEnd"/>
      <w:r>
        <w:t xml:space="preserve"> M, Roumain M, </w:t>
      </w:r>
      <w:proofErr w:type="spellStart"/>
      <w:r>
        <w:t>Pötgens</w:t>
      </w:r>
      <w:proofErr w:type="spellEnd"/>
      <w:r>
        <w:t xml:space="preserve"> SA, </w:t>
      </w:r>
      <w:proofErr w:type="spellStart"/>
      <w:r>
        <w:t>Neyrinck</w:t>
      </w:r>
      <w:proofErr w:type="spellEnd"/>
      <w:r>
        <w:t xml:space="preserve"> AM, </w:t>
      </w:r>
      <w:proofErr w:type="spellStart"/>
      <w:r>
        <w:t>Destrée</w:t>
      </w:r>
      <w:proofErr w:type="spellEnd"/>
      <w:r>
        <w:t xml:space="preserve"> F, et al. Inflammation‐induced cholestasis in cancer cachexia. Journal of cachexia, sarcopenia and muscle. 2021;12(1):70-90.</w:t>
      </w:r>
    </w:p>
    <w:p w14:paraId="0EDA326C" w14:textId="77777777" w:rsidR="00014BEB" w:rsidRDefault="00000000">
      <w:pPr>
        <w:spacing w:before="240" w:line="360" w:lineRule="auto"/>
        <w:jc w:val="both"/>
      </w:pPr>
      <w:r>
        <w:t>5</w:t>
      </w:r>
      <w:proofErr w:type="gramStart"/>
      <w:r>
        <w:t xml:space="preserve">.     </w:t>
      </w:r>
      <w:r>
        <w:tab/>
        <w:t>Baracos</w:t>
      </w:r>
      <w:proofErr w:type="gramEnd"/>
      <w:r>
        <w:t xml:space="preserve"> VE. Cancer-associated malnutrition. European journal of clinical nutrition. 2018;72(9):1255-9.</w:t>
      </w:r>
    </w:p>
    <w:p w14:paraId="63CD079D" w14:textId="77777777" w:rsidR="00014BEB" w:rsidRDefault="00000000">
      <w:pPr>
        <w:spacing w:before="240" w:line="360" w:lineRule="auto"/>
        <w:jc w:val="both"/>
      </w:pPr>
      <w:r>
        <w:t>6</w:t>
      </w:r>
      <w:proofErr w:type="gramStart"/>
      <w:r>
        <w:t xml:space="preserve">.     </w:t>
      </w:r>
      <w:r>
        <w:tab/>
        <w:t>Baracos</w:t>
      </w:r>
      <w:proofErr w:type="gramEnd"/>
      <w:r>
        <w:t xml:space="preserve"> VE, Martin L, </w:t>
      </w:r>
      <w:proofErr w:type="spellStart"/>
      <w:r>
        <w:t>Korc</w:t>
      </w:r>
      <w:proofErr w:type="spellEnd"/>
      <w:r>
        <w:t xml:space="preserve"> M, Guttridge DC, Fearon KCH. Cancer-associated cachexia. Nature reviews Disease primers. 2018;4(1):1-18.</w:t>
      </w:r>
    </w:p>
    <w:p w14:paraId="4BA9FC95" w14:textId="77777777" w:rsidR="00014BEB" w:rsidRDefault="00000000">
      <w:pPr>
        <w:spacing w:before="240" w:line="360" w:lineRule="auto"/>
        <w:jc w:val="both"/>
      </w:pPr>
      <w:r>
        <w:t xml:space="preserve">7.     </w:t>
      </w:r>
      <w:r>
        <w:tab/>
        <w:t xml:space="preserve">Britch SC, </w:t>
      </w:r>
      <w:proofErr w:type="spellStart"/>
      <w:r>
        <w:t>Babalonis</w:t>
      </w:r>
      <w:proofErr w:type="spellEnd"/>
      <w:r>
        <w:t xml:space="preserve"> S, Walsh SL. Cannabidiol: pharmacology and therapeutic targets. Psychopharmacology (Berl). 2021;238(1):9-28.</w:t>
      </w:r>
    </w:p>
    <w:p w14:paraId="534BC535" w14:textId="77777777" w:rsidR="00014BEB" w:rsidRDefault="00000000">
      <w:pPr>
        <w:spacing w:before="240" w:line="360" w:lineRule="auto"/>
        <w:jc w:val="both"/>
      </w:pPr>
      <w:r>
        <w:t>8</w:t>
      </w:r>
      <w:proofErr w:type="gramStart"/>
      <w:r>
        <w:t xml:space="preserve">.     </w:t>
      </w:r>
      <w:r>
        <w:tab/>
        <w:t>Hatfield</w:t>
      </w:r>
      <w:proofErr w:type="gramEnd"/>
      <w:r>
        <w:t xml:space="preserve"> J, Suthar K, Meyer TA, Wong L. The use of cannabinoids in palliating cancer-related symptoms: a narrative review. Proc (</w:t>
      </w:r>
      <w:proofErr w:type="spellStart"/>
      <w:r>
        <w:t>Bayl</w:t>
      </w:r>
      <w:proofErr w:type="spellEnd"/>
      <w:r>
        <w:t xml:space="preserve"> Univ Med Cent). 2024;37(2):288-94.</w:t>
      </w:r>
    </w:p>
    <w:p w14:paraId="1CD95D5F" w14:textId="77777777" w:rsidR="00014BEB" w:rsidRDefault="00000000">
      <w:pPr>
        <w:spacing w:before="240" w:line="360" w:lineRule="auto"/>
        <w:jc w:val="both"/>
      </w:pPr>
      <w:r>
        <w:lastRenderedPageBreak/>
        <w:t xml:space="preserve">9.     </w:t>
      </w:r>
      <w:r>
        <w:tab/>
      </w:r>
      <w:proofErr w:type="spellStart"/>
      <w:r>
        <w:t>Grimison</w:t>
      </w:r>
      <w:proofErr w:type="spellEnd"/>
      <w:r>
        <w:t xml:space="preserve"> P, </w:t>
      </w:r>
      <w:proofErr w:type="spellStart"/>
      <w:r>
        <w:t>Mersiades</w:t>
      </w:r>
      <w:proofErr w:type="spellEnd"/>
      <w:r>
        <w:t xml:space="preserve"> A, Kirby A, </w:t>
      </w:r>
      <w:proofErr w:type="spellStart"/>
      <w:r>
        <w:t>Lintzeris</w:t>
      </w:r>
      <w:proofErr w:type="spellEnd"/>
      <w:r>
        <w:t xml:space="preserve"> N, Morton R, Haber P, et al. Oral THC: CBD cannabis extract for refractory chemotherapy-induced nausea and vomiting: a </w:t>
      </w:r>
      <w:proofErr w:type="spellStart"/>
      <w:r>
        <w:t>randomised</w:t>
      </w:r>
      <w:proofErr w:type="spellEnd"/>
      <w:r>
        <w:t>, placebo-controlled, phase II crossover trial. Annals of Oncology. 2020;31(11):1553-60.</w:t>
      </w:r>
    </w:p>
    <w:p w14:paraId="59DFB431" w14:textId="77777777" w:rsidR="00014BEB" w:rsidRDefault="00000000">
      <w:pPr>
        <w:spacing w:before="240" w:line="360" w:lineRule="auto"/>
        <w:jc w:val="both"/>
      </w:pPr>
      <w:r>
        <w:t>10</w:t>
      </w:r>
      <w:proofErr w:type="gramStart"/>
      <w:r>
        <w:t xml:space="preserve">.   </w:t>
      </w:r>
      <w:r>
        <w:tab/>
        <w:t>Peng</w:t>
      </w:r>
      <w:proofErr w:type="gramEnd"/>
      <w:r>
        <w:t xml:space="preserve"> J, Fan M, </w:t>
      </w:r>
      <w:proofErr w:type="gramStart"/>
      <w:r>
        <w:t>An</w:t>
      </w:r>
      <w:proofErr w:type="gramEnd"/>
      <w:r>
        <w:t xml:space="preserve"> C, Ni F, Huang W, Luo J. A narrative review of molecular mechanism and therapeutic effect of cannabidiol (CBD). Basic &amp; Clinical Pharmacology &amp; Toxicology. 2022;130(4):439-56.</w:t>
      </w:r>
    </w:p>
    <w:p w14:paraId="76109BDB" w14:textId="77777777" w:rsidR="00014BEB" w:rsidRDefault="00000000">
      <w:pPr>
        <w:spacing w:before="240" w:line="360" w:lineRule="auto"/>
        <w:jc w:val="both"/>
      </w:pPr>
      <w:r>
        <w:t>11</w:t>
      </w:r>
      <w:proofErr w:type="gramStart"/>
      <w:r>
        <w:t xml:space="preserve">.   </w:t>
      </w:r>
      <w:r>
        <w:tab/>
        <w:t>Russo</w:t>
      </w:r>
      <w:proofErr w:type="gramEnd"/>
      <w:r>
        <w:t xml:space="preserve"> EB. History of cannabis and its preparations in saga, science, and sobriquet. Chemistry &amp; biodiversity. 2007;4(8):1614-48.</w:t>
      </w:r>
    </w:p>
    <w:p w14:paraId="76381B83" w14:textId="77777777" w:rsidR="00014BEB" w:rsidRDefault="00000000">
      <w:pPr>
        <w:spacing w:before="240" w:line="360" w:lineRule="auto"/>
        <w:jc w:val="both"/>
      </w:pPr>
      <w:r>
        <w:t xml:space="preserve">12.   </w:t>
      </w:r>
      <w:r>
        <w:tab/>
      </w:r>
      <w:proofErr w:type="spellStart"/>
      <w:r>
        <w:t>Gurgenci</w:t>
      </w:r>
      <w:proofErr w:type="spellEnd"/>
      <w:r>
        <w:t xml:space="preserve"> T, Kijanka G, Greer R, Huggett G, Good P, </w:t>
      </w:r>
      <w:proofErr w:type="spellStart"/>
      <w:r>
        <w:t>Moniruzzaman</w:t>
      </w:r>
      <w:proofErr w:type="spellEnd"/>
      <w:r>
        <w:t xml:space="preserve"> M, et al. Exploring potential anti-inflammatory effects of medicinal cannabis. Support Care Cancer. 2023;31(12):629.</w:t>
      </w:r>
    </w:p>
    <w:p w14:paraId="618473A3" w14:textId="77777777" w:rsidR="00014BEB" w:rsidRPr="00584059" w:rsidRDefault="00000000">
      <w:pPr>
        <w:spacing w:before="240" w:line="360" w:lineRule="auto"/>
        <w:jc w:val="both"/>
        <w:rPr>
          <w:lang w:val="pt-BR"/>
        </w:rPr>
      </w:pPr>
      <w:r>
        <w:t>13</w:t>
      </w:r>
      <w:proofErr w:type="gramStart"/>
      <w:r>
        <w:t xml:space="preserve">.   </w:t>
      </w:r>
      <w:r>
        <w:tab/>
        <w:t>Roxburgh</w:t>
      </w:r>
      <w:proofErr w:type="gramEnd"/>
      <w:r>
        <w:t xml:space="preserve"> CSD, McMillan DC. Cancer and systemic inflammation: treat the </w:t>
      </w:r>
      <w:proofErr w:type="spellStart"/>
      <w:r>
        <w:t>tumour</w:t>
      </w:r>
      <w:proofErr w:type="spellEnd"/>
      <w:r>
        <w:t xml:space="preserve"> and treat the host. </w:t>
      </w:r>
      <w:r w:rsidRPr="00584059">
        <w:rPr>
          <w:lang w:val="pt-BR"/>
        </w:rPr>
        <w:t xml:space="preserve">British </w:t>
      </w:r>
      <w:proofErr w:type="spellStart"/>
      <w:r w:rsidRPr="00584059">
        <w:rPr>
          <w:lang w:val="pt-BR"/>
        </w:rPr>
        <w:t>journal</w:t>
      </w:r>
      <w:proofErr w:type="spellEnd"/>
      <w:r w:rsidRPr="00584059">
        <w:rPr>
          <w:lang w:val="pt-BR"/>
        </w:rPr>
        <w:t xml:space="preserve"> </w:t>
      </w:r>
      <w:proofErr w:type="spellStart"/>
      <w:r w:rsidRPr="00584059">
        <w:rPr>
          <w:lang w:val="pt-BR"/>
        </w:rPr>
        <w:t>of</w:t>
      </w:r>
      <w:proofErr w:type="spellEnd"/>
      <w:r w:rsidRPr="00584059">
        <w:rPr>
          <w:lang w:val="pt-BR"/>
        </w:rPr>
        <w:t xml:space="preserve"> </w:t>
      </w:r>
      <w:proofErr w:type="spellStart"/>
      <w:r w:rsidRPr="00584059">
        <w:rPr>
          <w:lang w:val="pt-BR"/>
        </w:rPr>
        <w:t>cancer</w:t>
      </w:r>
      <w:proofErr w:type="spellEnd"/>
      <w:r w:rsidRPr="00584059">
        <w:rPr>
          <w:lang w:val="pt-BR"/>
        </w:rPr>
        <w:t>. 2014;110(6):1409-12.</w:t>
      </w:r>
    </w:p>
    <w:p w14:paraId="31552894" w14:textId="77777777" w:rsidR="00014BEB" w:rsidRDefault="00000000">
      <w:pPr>
        <w:spacing w:before="240" w:line="360" w:lineRule="auto"/>
        <w:jc w:val="both"/>
      </w:pPr>
      <w:r w:rsidRPr="00584059">
        <w:rPr>
          <w:lang w:val="pt-BR"/>
        </w:rPr>
        <w:t xml:space="preserve">14.   </w:t>
      </w:r>
      <w:r w:rsidRPr="00584059">
        <w:rPr>
          <w:lang w:val="pt-BR"/>
        </w:rPr>
        <w:tab/>
        <w:t xml:space="preserve">Oliveira KG, von </w:t>
      </w:r>
      <w:proofErr w:type="spellStart"/>
      <w:r w:rsidRPr="00584059">
        <w:rPr>
          <w:lang w:val="pt-BR"/>
        </w:rPr>
        <w:t>Zeidler</w:t>
      </w:r>
      <w:proofErr w:type="spellEnd"/>
      <w:r w:rsidRPr="00584059">
        <w:rPr>
          <w:lang w:val="pt-BR"/>
        </w:rPr>
        <w:t xml:space="preserve"> SV, Lamas AZ, de Podestá JRV, Sena A, Souza ED, et al. </w:t>
      </w:r>
      <w:r>
        <w:t>Relationship of inflammatory markers and pain in patients with head and neck cancer prior to anticancer therapy. Brazilian Journal of Medical and Biological Research. 2014;47(7):600-4.</w:t>
      </w:r>
    </w:p>
    <w:p w14:paraId="2B0292FA" w14:textId="77777777" w:rsidR="00014BEB" w:rsidRDefault="00000000">
      <w:pPr>
        <w:spacing w:before="240" w:line="360" w:lineRule="auto"/>
        <w:jc w:val="both"/>
      </w:pPr>
      <w:r>
        <w:t xml:space="preserve">15.   </w:t>
      </w:r>
      <w:r>
        <w:tab/>
        <w:t>Bower JE, Ganz PA, Tao ML, Hu W, Belin TR, Sepah S, et al. Inflammatory biomarkers and fatigue during radiation therapy for breast and prostate cancer. Clinical Cancer Research. 2009;15(17):5534-40.</w:t>
      </w:r>
    </w:p>
    <w:p w14:paraId="1CCD592A" w14:textId="77777777" w:rsidR="00014BEB" w:rsidRDefault="00000000">
      <w:pPr>
        <w:spacing w:before="240" w:line="360" w:lineRule="auto"/>
        <w:jc w:val="both"/>
      </w:pPr>
      <w:r>
        <w:t xml:space="preserve">16.   </w:t>
      </w:r>
      <w:r>
        <w:tab/>
        <w:t xml:space="preserve">Wang XS, Shi Q, Shah ND, </w:t>
      </w:r>
      <w:proofErr w:type="spellStart"/>
      <w:r>
        <w:t>Heijnen</w:t>
      </w:r>
      <w:proofErr w:type="spellEnd"/>
      <w:r>
        <w:t xml:space="preserve"> CJ, Cohen EN, Reuben JM, et al. Inflammatory markers and development of symptom burden in patients with multiple myeloma during autologous stem cell transplantation. Clinical Cancer Research. 2014;20(5):1366-74.</w:t>
      </w:r>
    </w:p>
    <w:p w14:paraId="0CE259A8" w14:textId="77777777" w:rsidR="00014BEB" w:rsidRDefault="00000000">
      <w:pPr>
        <w:spacing w:before="240" w:line="360" w:lineRule="auto"/>
        <w:jc w:val="both"/>
      </w:pPr>
      <w:r>
        <w:t>17</w:t>
      </w:r>
      <w:proofErr w:type="gramStart"/>
      <w:r>
        <w:t xml:space="preserve">.   </w:t>
      </w:r>
      <w:r>
        <w:tab/>
        <w:t>Evans</w:t>
      </w:r>
      <w:proofErr w:type="gramEnd"/>
      <w:r>
        <w:t xml:space="preserve"> WJ, Morley JE, </w:t>
      </w:r>
      <w:proofErr w:type="spellStart"/>
      <w:r>
        <w:t>Argilés</w:t>
      </w:r>
      <w:proofErr w:type="spellEnd"/>
      <w:r>
        <w:t xml:space="preserve"> J, Bales C, Baracos V, Guttridge D, et al. Cachexia: a new definition. Clinical nutrition. 2008;27(6):793-9.</w:t>
      </w:r>
    </w:p>
    <w:p w14:paraId="62963AC0" w14:textId="77777777" w:rsidR="00014BEB" w:rsidRDefault="00000000">
      <w:pPr>
        <w:spacing w:before="240" w:line="360" w:lineRule="auto"/>
        <w:jc w:val="both"/>
      </w:pPr>
      <w:r>
        <w:lastRenderedPageBreak/>
        <w:t xml:space="preserve">18.   </w:t>
      </w:r>
      <w:r>
        <w:tab/>
        <w:t>Abbass T, Dolan RD, Laird BJ, McMillan DC. The relationship between imaging-based body composition analysis and the systemic inflammatory response in patients with cancer: a systematic review. Cancers. 2019;11(9):1304.</w:t>
      </w:r>
    </w:p>
    <w:p w14:paraId="3858C4D9" w14:textId="77777777" w:rsidR="00014BEB" w:rsidRDefault="00000000">
      <w:pPr>
        <w:spacing w:before="240" w:line="360" w:lineRule="auto"/>
        <w:jc w:val="both"/>
      </w:pPr>
      <w:r>
        <w:t>19</w:t>
      </w:r>
      <w:proofErr w:type="gramStart"/>
      <w:r>
        <w:t xml:space="preserve">.   </w:t>
      </w:r>
      <w:r>
        <w:tab/>
      </w:r>
      <w:proofErr w:type="spellStart"/>
      <w:r>
        <w:t>Attaix</w:t>
      </w:r>
      <w:proofErr w:type="spellEnd"/>
      <w:proofErr w:type="gramEnd"/>
      <w:r>
        <w:t xml:space="preserve"> D, Ventadour S, </w:t>
      </w:r>
      <w:proofErr w:type="spellStart"/>
      <w:r>
        <w:t>Codran</w:t>
      </w:r>
      <w:proofErr w:type="spellEnd"/>
      <w:r>
        <w:t xml:space="preserve"> A, </w:t>
      </w:r>
      <w:proofErr w:type="spellStart"/>
      <w:r>
        <w:t>Béchet</w:t>
      </w:r>
      <w:proofErr w:type="spellEnd"/>
      <w:r>
        <w:t xml:space="preserve"> D, </w:t>
      </w:r>
      <w:proofErr w:type="spellStart"/>
      <w:r>
        <w:t>Taillandier</w:t>
      </w:r>
      <w:proofErr w:type="spellEnd"/>
      <w:r>
        <w:t xml:space="preserve"> D, </w:t>
      </w:r>
      <w:proofErr w:type="spellStart"/>
      <w:r>
        <w:t>Combaret</w:t>
      </w:r>
      <w:proofErr w:type="spellEnd"/>
      <w:r>
        <w:t xml:space="preserve"> L. The ubiquitin–proteasome system and skeletal muscle wasting. Essays in biochemistry. </w:t>
      </w:r>
      <w:proofErr w:type="gramStart"/>
      <w:r>
        <w:t>2005;41:173</w:t>
      </w:r>
      <w:proofErr w:type="gramEnd"/>
      <w:r>
        <w:t>-86.</w:t>
      </w:r>
    </w:p>
    <w:p w14:paraId="40847E4A" w14:textId="77777777" w:rsidR="00014BEB" w:rsidRDefault="00000000">
      <w:pPr>
        <w:spacing w:before="240" w:line="360" w:lineRule="auto"/>
        <w:jc w:val="both"/>
      </w:pPr>
      <w:r>
        <w:t xml:space="preserve">20.   </w:t>
      </w:r>
      <w:r>
        <w:tab/>
        <w:t>Sørensen J. Lung cancer cachexia: can molecular understanding guide clinical management? Integrative cancer therapies. 2018;17(3):1000-8.</w:t>
      </w:r>
    </w:p>
    <w:p w14:paraId="35EDC555" w14:textId="77777777" w:rsidR="00014BEB" w:rsidRDefault="00000000">
      <w:pPr>
        <w:spacing w:before="240" w:line="360" w:lineRule="auto"/>
        <w:jc w:val="both"/>
      </w:pPr>
      <w:r>
        <w:t>21</w:t>
      </w:r>
      <w:proofErr w:type="gramStart"/>
      <w:r>
        <w:t xml:space="preserve">.   </w:t>
      </w:r>
      <w:r>
        <w:tab/>
        <w:t>Arends</w:t>
      </w:r>
      <w:proofErr w:type="gramEnd"/>
      <w:r>
        <w:t xml:space="preserve"> J, Bachmann P, Baracos V, Barthelemy N, Bertz H, Bozzetti F, et al. ESPEN guidelines on nutrition in cancer patients. Clinical nutrition. 2017;36(1):11-48.</w:t>
      </w:r>
    </w:p>
    <w:p w14:paraId="7DB82FA8" w14:textId="77777777" w:rsidR="00014BEB" w:rsidRDefault="00000000">
      <w:pPr>
        <w:spacing w:before="240" w:line="360" w:lineRule="auto"/>
        <w:jc w:val="both"/>
      </w:pPr>
      <w:r>
        <w:t>22</w:t>
      </w:r>
      <w:proofErr w:type="gramStart"/>
      <w:r>
        <w:t xml:space="preserve">.   </w:t>
      </w:r>
      <w:r>
        <w:tab/>
        <w:t>Kanarek</w:t>
      </w:r>
      <w:proofErr w:type="gramEnd"/>
      <w:r>
        <w:t xml:space="preserve"> N, Petrova B, Sabatini DM. Dietary modifications for enhanced cancer therapy. Nature. 2020;579(7800):507-17.</w:t>
      </w:r>
    </w:p>
    <w:p w14:paraId="1E0941CF" w14:textId="77777777" w:rsidR="00014BEB" w:rsidRDefault="00000000">
      <w:pPr>
        <w:spacing w:before="240" w:line="360" w:lineRule="auto"/>
        <w:jc w:val="both"/>
      </w:pPr>
      <w:r>
        <w:t>23</w:t>
      </w:r>
      <w:proofErr w:type="gramStart"/>
      <w:r>
        <w:t xml:space="preserve">.   </w:t>
      </w:r>
      <w:r>
        <w:tab/>
      </w:r>
      <w:proofErr w:type="spellStart"/>
      <w:r>
        <w:t>Velicer</w:t>
      </w:r>
      <w:proofErr w:type="spellEnd"/>
      <w:proofErr w:type="gramEnd"/>
      <w:r>
        <w:t xml:space="preserve"> CM, Ulrich CM. Vitamin and mineral supplement use among US adults after cancer diagnosis: a systematic review. Journal of clinical oncology. 2008;26(4):665-73.</w:t>
      </w:r>
    </w:p>
    <w:p w14:paraId="642E6CC0" w14:textId="77777777" w:rsidR="00014BEB" w:rsidRDefault="00000000">
      <w:pPr>
        <w:spacing w:before="240" w:line="360" w:lineRule="auto"/>
        <w:jc w:val="both"/>
      </w:pPr>
      <w:r>
        <w:t>24</w:t>
      </w:r>
      <w:proofErr w:type="gramStart"/>
      <w:r>
        <w:t xml:space="preserve">.   </w:t>
      </w:r>
      <w:r>
        <w:tab/>
      </w:r>
      <w:proofErr w:type="spellStart"/>
      <w:r w:rsidRPr="00584059">
        <w:rPr>
          <w:lang w:val="pt-BR"/>
        </w:rPr>
        <w:t>Cereda</w:t>
      </w:r>
      <w:proofErr w:type="spellEnd"/>
      <w:proofErr w:type="gramEnd"/>
      <w:r w:rsidRPr="00584059">
        <w:rPr>
          <w:lang w:val="pt-BR"/>
        </w:rPr>
        <w:t xml:space="preserve"> E, </w:t>
      </w:r>
      <w:proofErr w:type="spellStart"/>
      <w:r w:rsidRPr="00584059">
        <w:rPr>
          <w:lang w:val="pt-BR"/>
        </w:rPr>
        <w:t>Turri</w:t>
      </w:r>
      <w:proofErr w:type="spellEnd"/>
      <w:r w:rsidRPr="00584059">
        <w:rPr>
          <w:lang w:val="pt-BR"/>
        </w:rPr>
        <w:t xml:space="preserve"> A, </w:t>
      </w:r>
      <w:proofErr w:type="spellStart"/>
      <w:r w:rsidRPr="00584059">
        <w:rPr>
          <w:lang w:val="pt-BR"/>
        </w:rPr>
        <w:t>Klersy</w:t>
      </w:r>
      <w:proofErr w:type="spellEnd"/>
      <w:r w:rsidRPr="00584059">
        <w:rPr>
          <w:lang w:val="pt-BR"/>
        </w:rPr>
        <w:t xml:space="preserve"> C, </w:t>
      </w:r>
      <w:proofErr w:type="spellStart"/>
      <w:r w:rsidRPr="00584059">
        <w:rPr>
          <w:lang w:val="pt-BR"/>
        </w:rPr>
        <w:t>Cappello</w:t>
      </w:r>
      <w:proofErr w:type="spellEnd"/>
      <w:r w:rsidRPr="00584059">
        <w:rPr>
          <w:lang w:val="pt-BR"/>
        </w:rPr>
        <w:t xml:space="preserve"> S, Ferrari A, Filippi AR, et al. </w:t>
      </w:r>
      <w:r>
        <w:t>Whey protein isolate supplementation improves body composition, muscle strength, and treatment tolerance in malnourished advanced cancer patients undergoing chemotherapy. Cancer Medicine. 2019;8(16):6923-32.</w:t>
      </w:r>
    </w:p>
    <w:p w14:paraId="640EF7AF" w14:textId="77777777" w:rsidR="00014BEB" w:rsidRDefault="00000000">
      <w:pPr>
        <w:spacing w:before="240" w:line="360" w:lineRule="auto"/>
        <w:jc w:val="both"/>
      </w:pPr>
      <w:r>
        <w:t>25</w:t>
      </w:r>
      <w:proofErr w:type="gramStart"/>
      <w:r>
        <w:t xml:space="preserve">.   </w:t>
      </w:r>
      <w:r>
        <w:tab/>
      </w:r>
      <w:proofErr w:type="spellStart"/>
      <w:r w:rsidRPr="00584059">
        <w:rPr>
          <w:lang w:val="pt-BR"/>
        </w:rPr>
        <w:t>Schuetz</w:t>
      </w:r>
      <w:proofErr w:type="spellEnd"/>
      <w:proofErr w:type="gramEnd"/>
      <w:r w:rsidRPr="00584059">
        <w:rPr>
          <w:lang w:val="pt-BR"/>
        </w:rPr>
        <w:t xml:space="preserve"> P, </w:t>
      </w:r>
      <w:proofErr w:type="spellStart"/>
      <w:r w:rsidRPr="00584059">
        <w:rPr>
          <w:lang w:val="pt-BR"/>
        </w:rPr>
        <w:t>Fehr</w:t>
      </w:r>
      <w:proofErr w:type="spellEnd"/>
      <w:r w:rsidRPr="00584059">
        <w:rPr>
          <w:lang w:val="pt-BR"/>
        </w:rPr>
        <w:t xml:space="preserve"> R, </w:t>
      </w:r>
      <w:proofErr w:type="spellStart"/>
      <w:r w:rsidRPr="00584059">
        <w:rPr>
          <w:lang w:val="pt-BR"/>
        </w:rPr>
        <w:t>Baechli</w:t>
      </w:r>
      <w:proofErr w:type="spellEnd"/>
      <w:r w:rsidRPr="00584059">
        <w:rPr>
          <w:lang w:val="pt-BR"/>
        </w:rPr>
        <w:t xml:space="preserve"> V, </w:t>
      </w:r>
      <w:proofErr w:type="spellStart"/>
      <w:r w:rsidRPr="00584059">
        <w:rPr>
          <w:lang w:val="pt-BR"/>
        </w:rPr>
        <w:t>Geiser</w:t>
      </w:r>
      <w:proofErr w:type="spellEnd"/>
      <w:r w:rsidRPr="00584059">
        <w:rPr>
          <w:lang w:val="pt-BR"/>
        </w:rPr>
        <w:t xml:space="preserve"> M, Deiss M, Gomes F, et al. </w:t>
      </w:r>
      <w:proofErr w:type="spellStart"/>
      <w:r>
        <w:t>Individualised</w:t>
      </w:r>
      <w:proofErr w:type="spellEnd"/>
      <w:r>
        <w:t xml:space="preserve"> nutritional support in medical inpatients at nutritional risk: a </w:t>
      </w:r>
      <w:proofErr w:type="spellStart"/>
      <w:r>
        <w:t>randomised</w:t>
      </w:r>
      <w:proofErr w:type="spellEnd"/>
      <w:r>
        <w:t xml:space="preserve"> clinical trial. The Lancet. 2019;393(10188):2312-21.</w:t>
      </w:r>
    </w:p>
    <w:p w14:paraId="2D40F108" w14:textId="77777777" w:rsidR="00014BEB" w:rsidRDefault="00000000">
      <w:pPr>
        <w:spacing w:before="240" w:line="360" w:lineRule="auto"/>
        <w:jc w:val="both"/>
      </w:pPr>
      <w:r>
        <w:t xml:space="preserve">26.   </w:t>
      </w:r>
      <w:r>
        <w:tab/>
      </w:r>
      <w:proofErr w:type="spellStart"/>
      <w:r w:rsidRPr="00584059">
        <w:rPr>
          <w:lang w:val="pt-BR"/>
        </w:rPr>
        <w:t>Roeland</w:t>
      </w:r>
      <w:proofErr w:type="spellEnd"/>
      <w:r w:rsidRPr="00584059">
        <w:rPr>
          <w:lang w:val="pt-BR"/>
        </w:rPr>
        <w:t xml:space="preserve"> EJ, </w:t>
      </w:r>
      <w:proofErr w:type="spellStart"/>
      <w:r w:rsidRPr="00584059">
        <w:rPr>
          <w:lang w:val="pt-BR"/>
        </w:rPr>
        <w:t>Bohlke</w:t>
      </w:r>
      <w:proofErr w:type="spellEnd"/>
      <w:r w:rsidRPr="00584059">
        <w:rPr>
          <w:lang w:val="pt-BR"/>
        </w:rPr>
        <w:t xml:space="preserve"> K, </w:t>
      </w:r>
      <w:proofErr w:type="spellStart"/>
      <w:r w:rsidRPr="00584059">
        <w:rPr>
          <w:lang w:val="pt-BR"/>
        </w:rPr>
        <w:t>Baracos</w:t>
      </w:r>
      <w:proofErr w:type="spellEnd"/>
      <w:r w:rsidRPr="00584059">
        <w:rPr>
          <w:lang w:val="pt-BR"/>
        </w:rPr>
        <w:t xml:space="preserve"> VE, </w:t>
      </w:r>
      <w:proofErr w:type="spellStart"/>
      <w:r w:rsidRPr="00584059">
        <w:rPr>
          <w:lang w:val="pt-BR"/>
        </w:rPr>
        <w:t>Bruera</w:t>
      </w:r>
      <w:proofErr w:type="spellEnd"/>
      <w:r w:rsidRPr="00584059">
        <w:rPr>
          <w:lang w:val="pt-BR"/>
        </w:rPr>
        <w:t xml:space="preserve"> E, Del Fabbro E, Dixon S, et al. </w:t>
      </w:r>
      <w:r>
        <w:t>Management of cancer cachexia: ASCO guideline. Journal of Clinical Oncology. 2020;38(21):2438-53.</w:t>
      </w:r>
    </w:p>
    <w:p w14:paraId="2F6B8E6F" w14:textId="3A739269" w:rsidR="00014BEB" w:rsidRDefault="00000000">
      <w:pPr>
        <w:spacing w:before="240" w:line="360" w:lineRule="auto"/>
        <w:jc w:val="both"/>
      </w:pPr>
      <w:r>
        <w:t>27</w:t>
      </w:r>
      <w:proofErr w:type="gramStart"/>
      <w:r>
        <w:t xml:space="preserve">.   </w:t>
      </w:r>
      <w:r>
        <w:tab/>
        <w:t>de</w:t>
      </w:r>
      <w:proofErr w:type="gramEnd"/>
      <w:r>
        <w:t xml:space="preserve"> van der Schueren MAE, Laviano A, Blanchard H, Jourdan M, Arends J, Baracos VE. Systematic review and meta-analysis of the evidence for oral nutritional intervention on nutritional and clinical outcomes during chemo (radio) therapy: current </w:t>
      </w:r>
      <w:r>
        <w:lastRenderedPageBreak/>
        <w:t>evidence and guidance for design of future trials. Annals of Oncology. 2018;29(5):1141-</w:t>
      </w:r>
      <w:r w:rsidR="00584059">
        <w:t>11</w:t>
      </w:r>
      <w:r>
        <w:t>53.</w:t>
      </w:r>
    </w:p>
    <w:p w14:paraId="4C43F996" w14:textId="77777777" w:rsidR="00014BEB" w:rsidRDefault="00000000">
      <w:pPr>
        <w:spacing w:before="240" w:line="360" w:lineRule="auto"/>
        <w:jc w:val="both"/>
      </w:pPr>
      <w:r>
        <w:t xml:space="preserve">28.   </w:t>
      </w:r>
      <w:r>
        <w:tab/>
        <w:t xml:space="preserve">Prado CM, Anker SD, Coats AJS, Laviano A, von </w:t>
      </w:r>
      <w:proofErr w:type="spellStart"/>
      <w:r>
        <w:t>Haehling</w:t>
      </w:r>
      <w:proofErr w:type="spellEnd"/>
      <w:r>
        <w:t xml:space="preserve"> S. Nutrition in the spotlight in cachexia, sarcopenia and muscle: avoiding the wildfire. Journal of cachexia, sarcopenia and muscle. 2020;12(1):3.</w:t>
      </w:r>
    </w:p>
    <w:p w14:paraId="66CAD159" w14:textId="77777777" w:rsidR="00014BEB" w:rsidRDefault="00000000">
      <w:pPr>
        <w:spacing w:before="240" w:line="360" w:lineRule="auto"/>
        <w:jc w:val="both"/>
      </w:pPr>
      <w:r>
        <w:t xml:space="preserve">29.   </w:t>
      </w:r>
      <w:r>
        <w:tab/>
      </w:r>
      <w:proofErr w:type="spellStart"/>
      <w:r>
        <w:t>Bargetzi</w:t>
      </w:r>
      <w:proofErr w:type="spellEnd"/>
      <w:r>
        <w:t xml:space="preserve"> L, Brack C, Herrmann J, </w:t>
      </w:r>
      <w:proofErr w:type="spellStart"/>
      <w:r>
        <w:t>Bargetzi</w:t>
      </w:r>
      <w:proofErr w:type="spellEnd"/>
      <w:r>
        <w:t xml:space="preserve"> A, Hersberger L, </w:t>
      </w:r>
      <w:proofErr w:type="spellStart"/>
      <w:r>
        <w:t>Bargetzi</w:t>
      </w:r>
      <w:proofErr w:type="spellEnd"/>
      <w:r>
        <w:t xml:space="preserve"> M, et al. Nutritional support during the hospital stay reduces mortality in patients with different types of cancers: secondary analysis of a prospective randomized trial. Annals of oncology. 2021;32(8):1025-33.</w:t>
      </w:r>
    </w:p>
    <w:p w14:paraId="0DCE25B7" w14:textId="77777777" w:rsidR="00014BEB" w:rsidRDefault="00000000">
      <w:pPr>
        <w:spacing w:before="240" w:line="360" w:lineRule="auto"/>
        <w:jc w:val="both"/>
      </w:pPr>
      <w:r>
        <w:t xml:space="preserve">30.   </w:t>
      </w:r>
      <w:r>
        <w:tab/>
      </w:r>
      <w:proofErr w:type="spellStart"/>
      <w:r>
        <w:t>Tilch</w:t>
      </w:r>
      <w:proofErr w:type="spellEnd"/>
      <w:r>
        <w:t xml:space="preserve"> M-K, Galle P, </w:t>
      </w:r>
      <w:proofErr w:type="spellStart"/>
      <w:r>
        <w:t>Schattenberg</w:t>
      </w:r>
      <w:proofErr w:type="spellEnd"/>
      <w:r>
        <w:t xml:space="preserve"> J, </w:t>
      </w:r>
      <w:proofErr w:type="spellStart"/>
      <w:r>
        <w:t>Kostev</w:t>
      </w:r>
      <w:proofErr w:type="spellEnd"/>
      <w:r>
        <w:t xml:space="preserve"> K, Labenz C. Burden of depression and anxiety disorders per disease codes in patients with lymphoma in Germany. Supportive Care in Cancer. 2022;30.</w:t>
      </w:r>
    </w:p>
    <w:p w14:paraId="3889A3EA" w14:textId="77777777" w:rsidR="00014BEB" w:rsidRDefault="00000000">
      <w:pPr>
        <w:spacing w:before="240" w:line="360" w:lineRule="auto"/>
        <w:jc w:val="both"/>
      </w:pPr>
      <w:r>
        <w:t xml:space="preserve">31.   </w:t>
      </w:r>
      <w:r>
        <w:tab/>
        <w:t xml:space="preserve">Li X, </w:t>
      </w:r>
      <w:proofErr w:type="spellStart"/>
      <w:r>
        <w:t>Diviant</w:t>
      </w:r>
      <w:proofErr w:type="spellEnd"/>
      <w:r>
        <w:t xml:space="preserve"> JP, Stith SS, Brockelman F, Keeling K, Hall B, et al. The Effectiveness of Cannabis Flower for Immediate Relief from Symptoms of Depression. Yale J Biol Med. 2020;93(2):251-64.</w:t>
      </w:r>
    </w:p>
    <w:p w14:paraId="136217F6" w14:textId="77777777" w:rsidR="00014BEB" w:rsidRDefault="00000000">
      <w:pPr>
        <w:spacing w:before="240" w:line="360" w:lineRule="auto"/>
        <w:jc w:val="both"/>
      </w:pPr>
      <w:r>
        <w:t>32</w:t>
      </w:r>
      <w:proofErr w:type="gramStart"/>
      <w:r>
        <w:t xml:space="preserve">.   </w:t>
      </w:r>
      <w:r>
        <w:tab/>
        <w:t>Bloomfield</w:t>
      </w:r>
      <w:proofErr w:type="gramEnd"/>
      <w:r>
        <w:t xml:space="preserve"> MAP, Ashok AH, Volkow ND, Howes OD. The effects of Δ9-tetrahydrocannabinol on the dopamine system. Nature. 2016;539(7629):369-77.</w:t>
      </w:r>
    </w:p>
    <w:p w14:paraId="353DE493" w14:textId="77777777" w:rsidR="00014BEB" w:rsidRDefault="00000000">
      <w:pPr>
        <w:spacing w:before="240" w:line="360" w:lineRule="auto"/>
        <w:jc w:val="both"/>
      </w:pPr>
      <w:r>
        <w:t>33</w:t>
      </w:r>
      <w:proofErr w:type="gramStart"/>
      <w:r>
        <w:t xml:space="preserve">.   </w:t>
      </w:r>
      <w:r>
        <w:tab/>
        <w:t>Patel</w:t>
      </w:r>
      <w:proofErr w:type="gramEnd"/>
      <w:r>
        <w:t xml:space="preserve"> V, </w:t>
      </w:r>
      <w:proofErr w:type="spellStart"/>
      <w:r>
        <w:t>Borysenko</w:t>
      </w:r>
      <w:proofErr w:type="spellEnd"/>
      <w:r>
        <w:t xml:space="preserve"> M, Kumar MSA. Effect of Δ9-THC on brain and plasma catecholamine levels as measured by HPLC. Brain research bulletin. 1985;14(1):85-90.</w:t>
      </w:r>
    </w:p>
    <w:p w14:paraId="2276BBB0" w14:textId="77777777" w:rsidR="00014BEB" w:rsidRDefault="00000000">
      <w:pPr>
        <w:spacing w:before="240" w:line="360" w:lineRule="auto"/>
        <w:jc w:val="both"/>
      </w:pPr>
      <w:r>
        <w:t xml:space="preserve">34.   </w:t>
      </w:r>
      <w:r>
        <w:tab/>
        <w:t>Navari RM, Aapro M. Antiemetic prophylaxis for chemotherapy-induced nausea and vomiting. New England Journal of Medicine. 2016;374(14):1356-67.</w:t>
      </w:r>
    </w:p>
    <w:p w14:paraId="400B1213" w14:textId="77777777" w:rsidR="00014BEB" w:rsidRDefault="00000000">
      <w:pPr>
        <w:spacing w:before="240" w:line="360" w:lineRule="auto"/>
        <w:jc w:val="both"/>
      </w:pPr>
      <w:r>
        <w:t xml:space="preserve">35.   </w:t>
      </w:r>
      <w:r>
        <w:tab/>
      </w:r>
      <w:proofErr w:type="spellStart"/>
      <w:r w:rsidRPr="00584059">
        <w:rPr>
          <w:lang w:val="pt-BR"/>
        </w:rPr>
        <w:t>Aapro</w:t>
      </w:r>
      <w:proofErr w:type="spellEnd"/>
      <w:r w:rsidRPr="00584059">
        <w:rPr>
          <w:lang w:val="pt-BR"/>
        </w:rPr>
        <w:t xml:space="preserve"> M, </w:t>
      </w:r>
      <w:proofErr w:type="spellStart"/>
      <w:r w:rsidRPr="00584059">
        <w:rPr>
          <w:lang w:val="pt-BR"/>
        </w:rPr>
        <w:t>Molassiotis</w:t>
      </w:r>
      <w:proofErr w:type="spellEnd"/>
      <w:r w:rsidRPr="00584059">
        <w:rPr>
          <w:lang w:val="pt-BR"/>
        </w:rPr>
        <w:t xml:space="preserve"> A, </w:t>
      </w:r>
      <w:proofErr w:type="spellStart"/>
      <w:r w:rsidRPr="00584059">
        <w:rPr>
          <w:lang w:val="pt-BR"/>
        </w:rPr>
        <w:t>Dicato</w:t>
      </w:r>
      <w:proofErr w:type="spellEnd"/>
      <w:r w:rsidRPr="00584059">
        <w:rPr>
          <w:lang w:val="pt-BR"/>
        </w:rPr>
        <w:t xml:space="preserve"> M, Peláez I, Rodríguez-Lescure Á, </w:t>
      </w:r>
      <w:proofErr w:type="spellStart"/>
      <w:r w:rsidRPr="00584059">
        <w:rPr>
          <w:lang w:val="pt-BR"/>
        </w:rPr>
        <w:t>Pastorelli</w:t>
      </w:r>
      <w:proofErr w:type="spellEnd"/>
      <w:r w:rsidRPr="00584059">
        <w:rPr>
          <w:lang w:val="pt-BR"/>
        </w:rPr>
        <w:t xml:space="preserve"> D, et al. </w:t>
      </w:r>
      <w:r>
        <w:t>The effect of guideline-consistent antiemetic therapy on chemotherapy-induced nausea and vomiting (CINV): the Pan European Emesis Registry (PEER). Annals of oncology. 2012;23(8):1986-92.</w:t>
      </w:r>
    </w:p>
    <w:p w14:paraId="03C13328" w14:textId="77777777" w:rsidR="00014BEB" w:rsidRDefault="00000000">
      <w:pPr>
        <w:spacing w:before="240" w:line="360" w:lineRule="auto"/>
        <w:jc w:val="both"/>
      </w:pPr>
      <w:r>
        <w:t xml:space="preserve">36.   </w:t>
      </w:r>
      <w:r>
        <w:tab/>
        <w:t xml:space="preserve">Chow R, Valdez C, Chow N, Zhang D, </w:t>
      </w:r>
      <w:proofErr w:type="spellStart"/>
      <w:r>
        <w:t>Im</w:t>
      </w:r>
      <w:proofErr w:type="spellEnd"/>
      <w:r>
        <w:t xml:space="preserve"> J, Sodhi E, et al. Oral cannabinoid for the prophylaxis of chemotherapy-induced nausea and vomiting—a systematic review and meta-analysis. Supportive Care in Cancer. </w:t>
      </w:r>
      <w:proofErr w:type="gramStart"/>
      <w:r>
        <w:t>2020;28:2095</w:t>
      </w:r>
      <w:proofErr w:type="gramEnd"/>
      <w:r>
        <w:t>-103.</w:t>
      </w:r>
    </w:p>
    <w:p w14:paraId="25D42740" w14:textId="77777777" w:rsidR="00014BEB" w:rsidRPr="00584059" w:rsidRDefault="00000000">
      <w:pPr>
        <w:spacing w:before="240" w:after="240" w:line="360" w:lineRule="auto"/>
        <w:jc w:val="both"/>
        <w:rPr>
          <w:lang w:val="pt-BR"/>
        </w:rPr>
      </w:pPr>
      <w:r>
        <w:lastRenderedPageBreak/>
        <w:t xml:space="preserve">37.   </w:t>
      </w:r>
      <w:r>
        <w:tab/>
      </w:r>
      <w:proofErr w:type="spellStart"/>
      <w:r>
        <w:t>Grimison</w:t>
      </w:r>
      <w:proofErr w:type="spellEnd"/>
      <w:r>
        <w:t xml:space="preserve"> P, </w:t>
      </w:r>
      <w:proofErr w:type="spellStart"/>
      <w:r>
        <w:t>Mersiades</w:t>
      </w:r>
      <w:proofErr w:type="spellEnd"/>
      <w:r>
        <w:t xml:space="preserve"> A, Kirby A, </w:t>
      </w:r>
      <w:proofErr w:type="spellStart"/>
      <w:r>
        <w:t>Lintzeris</w:t>
      </w:r>
      <w:proofErr w:type="spellEnd"/>
      <w:r>
        <w:t xml:space="preserve"> N, Morton R, Haber P, et al. Oral </w:t>
      </w:r>
      <w:proofErr w:type="gramStart"/>
      <w:r>
        <w:t>THC:CBD</w:t>
      </w:r>
      <w:proofErr w:type="gramEnd"/>
      <w:r>
        <w:t xml:space="preserve"> cannabis extract for refractory chemotherapy-induced nausea and vomiting: a </w:t>
      </w:r>
      <w:proofErr w:type="spellStart"/>
      <w:r>
        <w:t>randomised</w:t>
      </w:r>
      <w:proofErr w:type="spellEnd"/>
      <w:r>
        <w:t xml:space="preserve">, placebo-controlled, phase II crossover trial. </w:t>
      </w:r>
      <w:proofErr w:type="spellStart"/>
      <w:r w:rsidRPr="00584059">
        <w:rPr>
          <w:lang w:val="pt-BR"/>
        </w:rPr>
        <w:t>Annals</w:t>
      </w:r>
      <w:proofErr w:type="spellEnd"/>
      <w:r w:rsidRPr="00584059">
        <w:rPr>
          <w:lang w:val="pt-BR"/>
        </w:rPr>
        <w:t xml:space="preserve"> </w:t>
      </w:r>
      <w:proofErr w:type="spellStart"/>
      <w:r w:rsidRPr="00584059">
        <w:rPr>
          <w:lang w:val="pt-BR"/>
        </w:rPr>
        <w:t>of</w:t>
      </w:r>
      <w:proofErr w:type="spellEnd"/>
      <w:r w:rsidRPr="00584059">
        <w:rPr>
          <w:lang w:val="pt-BR"/>
        </w:rPr>
        <w:t xml:space="preserve"> </w:t>
      </w:r>
      <w:proofErr w:type="spellStart"/>
      <w:r w:rsidRPr="00584059">
        <w:rPr>
          <w:lang w:val="pt-BR"/>
        </w:rPr>
        <w:t>Oncology</w:t>
      </w:r>
      <w:proofErr w:type="spellEnd"/>
      <w:r w:rsidRPr="00584059">
        <w:rPr>
          <w:lang w:val="pt-BR"/>
        </w:rPr>
        <w:t>. 2020;31(11):1553-60.</w:t>
      </w:r>
    </w:p>
    <w:p w14:paraId="56F2920C" w14:textId="77777777" w:rsidR="00014BEB" w:rsidRPr="00584059" w:rsidRDefault="00000000">
      <w:pPr>
        <w:spacing w:before="240" w:after="240" w:line="360" w:lineRule="auto"/>
        <w:ind w:firstLine="720"/>
        <w:jc w:val="both"/>
        <w:rPr>
          <w:b/>
          <w:lang w:val="pt-BR"/>
        </w:rPr>
      </w:pPr>
      <w:r w:rsidRPr="00584059">
        <w:rPr>
          <w:b/>
          <w:lang w:val="pt-BR"/>
        </w:rPr>
        <w:t xml:space="preserve"> </w:t>
      </w:r>
    </w:p>
    <w:p w14:paraId="32D9C15C" w14:textId="77777777" w:rsidR="00014BEB" w:rsidRPr="00584059" w:rsidRDefault="00014BEB">
      <w:pPr>
        <w:spacing w:line="276" w:lineRule="auto"/>
        <w:jc w:val="both"/>
        <w:rPr>
          <w:b/>
          <w:lang w:val="pt-BR"/>
        </w:rPr>
      </w:pPr>
    </w:p>
    <w:p w14:paraId="66DBA895" w14:textId="77777777" w:rsidR="00014BEB" w:rsidRPr="00584059" w:rsidRDefault="00014BEB">
      <w:pPr>
        <w:spacing w:line="276" w:lineRule="auto"/>
        <w:jc w:val="both"/>
        <w:rPr>
          <w:b/>
          <w:lang w:val="pt-BR"/>
        </w:rPr>
      </w:pPr>
    </w:p>
    <w:p w14:paraId="77624307" w14:textId="58AD530B" w:rsidR="00014BEB" w:rsidRPr="00584059" w:rsidRDefault="00014BEB" w:rsidP="00584059">
      <w:pPr>
        <w:spacing w:line="276" w:lineRule="auto"/>
        <w:rPr>
          <w:b/>
          <w:lang w:val="pt-BR"/>
        </w:rPr>
      </w:pPr>
    </w:p>
    <w:sectPr w:rsidR="00014BEB" w:rsidRPr="00584059">
      <w:headerReference w:type="default" r:id="rId15"/>
      <w:footerReference w:type="default" r:id="rId16"/>
      <w:pgSz w:w="11900" w:h="16840"/>
      <w:pgMar w:top="1671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2343" w14:textId="77777777" w:rsidR="00D464B5" w:rsidRDefault="00D464B5">
      <w:r>
        <w:separator/>
      </w:r>
    </w:p>
  </w:endnote>
  <w:endnote w:type="continuationSeparator" w:id="0">
    <w:p w14:paraId="65A95325" w14:textId="77777777" w:rsidR="00D464B5" w:rsidRDefault="00D4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B992" w14:textId="3F2F7999" w:rsidR="00014BEB" w:rsidRPr="005840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jc w:val="right"/>
      <w:rPr>
        <w:rFonts w:ascii="Calibri" w:eastAsia="Calibri" w:hAnsi="Calibri" w:cs="Calibri"/>
        <w:color w:val="000000"/>
        <w:sz w:val="22"/>
        <w:szCs w:val="22"/>
        <w:lang w:val="pt-BR"/>
      </w:rPr>
    </w:pPr>
    <w:r w:rsidRPr="00584059">
      <w:rPr>
        <w:rFonts w:ascii="Calibri" w:eastAsia="Calibri" w:hAnsi="Calibri" w:cs="Calibri"/>
        <w:color w:val="000000"/>
        <w:sz w:val="22"/>
        <w:szCs w:val="22"/>
        <w:lang w:val="pt-BR"/>
      </w:rPr>
      <w:t xml:space="preserve">Revista Brasileira de Cannabis, São Paulo, Vol. </w:t>
    </w:r>
    <w:r w:rsidR="00561565">
      <w:rPr>
        <w:rFonts w:ascii="Calibri" w:eastAsia="Calibri" w:hAnsi="Calibri" w:cs="Calibri"/>
        <w:color w:val="000000"/>
        <w:sz w:val="22"/>
        <w:szCs w:val="22"/>
        <w:lang w:val="pt-BR"/>
      </w:rPr>
      <w:t>4</w:t>
    </w:r>
    <w:r w:rsidRPr="00584059">
      <w:rPr>
        <w:rFonts w:ascii="Calibri" w:eastAsia="Calibri" w:hAnsi="Calibri" w:cs="Calibri"/>
        <w:color w:val="000000"/>
        <w:sz w:val="22"/>
        <w:szCs w:val="22"/>
        <w:lang w:val="pt-BR"/>
      </w:rPr>
      <w:t xml:space="preserve">, n. </w:t>
    </w:r>
    <w:r w:rsidRPr="00584059">
      <w:rPr>
        <w:rFonts w:ascii="Calibri" w:eastAsia="Calibri" w:hAnsi="Calibri" w:cs="Calibri"/>
        <w:sz w:val="22"/>
        <w:szCs w:val="22"/>
        <w:lang w:val="pt-BR"/>
      </w:rPr>
      <w:t>1</w:t>
    </w:r>
    <w:r w:rsidRPr="00584059">
      <w:rPr>
        <w:rFonts w:ascii="Calibri" w:eastAsia="Calibri" w:hAnsi="Calibri" w:cs="Calibri"/>
        <w:color w:val="000000"/>
        <w:sz w:val="22"/>
        <w:szCs w:val="22"/>
        <w:lang w:val="pt-BR"/>
      </w:rPr>
      <w:t xml:space="preserve">, p. </w:t>
    </w:r>
    <w:r w:rsidRPr="00584059">
      <w:rPr>
        <w:rFonts w:ascii="Calibri" w:eastAsia="Calibri" w:hAnsi="Calibri" w:cs="Calibri"/>
        <w:sz w:val="22"/>
        <w:szCs w:val="22"/>
        <w:lang w:val="pt-BR"/>
      </w:rPr>
      <w:t>1 a 1</w:t>
    </w:r>
    <w:r w:rsidR="00584059">
      <w:rPr>
        <w:rFonts w:ascii="Calibri" w:eastAsia="Calibri" w:hAnsi="Calibri" w:cs="Calibri"/>
        <w:sz w:val="22"/>
        <w:szCs w:val="22"/>
        <w:lang w:val="pt-BR"/>
      </w:rPr>
      <w:t>3</w:t>
    </w:r>
    <w:r w:rsidRPr="00584059">
      <w:rPr>
        <w:rFonts w:ascii="Calibri" w:eastAsia="Calibri" w:hAnsi="Calibri" w:cs="Calibri"/>
        <w:color w:val="000000"/>
        <w:sz w:val="22"/>
        <w:szCs w:val="22"/>
        <w:lang w:val="pt-BR"/>
      </w:rPr>
      <w:t>, 202</w:t>
    </w:r>
    <w:r w:rsidRPr="00584059">
      <w:rPr>
        <w:rFonts w:ascii="Calibri" w:eastAsia="Calibri" w:hAnsi="Calibri" w:cs="Calibri"/>
        <w:sz w:val="22"/>
        <w:szCs w:val="22"/>
        <w:lang w:val="pt-BR"/>
      </w:rPr>
      <w:t>5</w:t>
    </w:r>
    <w:r w:rsidRPr="00584059">
      <w:rPr>
        <w:rFonts w:ascii="Calibri" w:eastAsia="Calibri" w:hAnsi="Calibri" w:cs="Calibri"/>
        <w:color w:val="000000"/>
        <w:sz w:val="22"/>
        <w:szCs w:val="22"/>
        <w:lang w:val="pt-B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5C42" w14:textId="77777777" w:rsidR="00D464B5" w:rsidRDefault="00D464B5">
      <w:r>
        <w:separator/>
      </w:r>
    </w:p>
  </w:footnote>
  <w:footnote w:type="continuationSeparator" w:id="0">
    <w:p w14:paraId="403BE981" w14:textId="77777777" w:rsidR="00D464B5" w:rsidRDefault="00D4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1E2B" w14:textId="77777777" w:rsidR="00014B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8A8D439" wp14:editId="6FE24939">
          <wp:simplePos x="0" y="0"/>
          <wp:positionH relativeFrom="column">
            <wp:posOffset>-1085842</wp:posOffset>
          </wp:positionH>
          <wp:positionV relativeFrom="paragraph">
            <wp:posOffset>0</wp:posOffset>
          </wp:positionV>
          <wp:extent cx="7584772" cy="909638"/>
          <wp:effectExtent l="0" t="0" r="0" b="0"/>
          <wp:wrapNone/>
          <wp:docPr id="1073741855" name="image1.jpg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m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772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EB"/>
    <w:rsid w:val="00014BEB"/>
    <w:rsid w:val="00561565"/>
    <w:rsid w:val="00584059"/>
    <w:rsid w:val="005E0F57"/>
    <w:rsid w:val="00D464B5"/>
    <w:rsid w:val="00E3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1881"/>
  <w15:docId w15:val="{942F1C45-0EDE-4153-9E53-9AA9EC03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7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02E"/>
    <w:rPr>
      <w:rFonts w:ascii="Tahoma" w:hAnsi="Tahoma" w:cs="Tahoma"/>
      <w:sz w:val="16"/>
      <w:szCs w:val="16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ltersparta@performancehealthscience.com" TargetMode="External"/><Relationship Id="rId12" Type="http://schemas.openxmlformats.org/officeDocument/2006/relationships/hyperlink" Target="https://pubmed.ncbi.nlm.nih.gov/?term=%22Li%20X%22%5BAuthor%5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30kte7E6A8JjS56unfaesqtSw==">CgMxLjA4AHIhMWJiVlpDV1c1Yk11MUhQbGUyR1VERUFTVFBSUFloX3cy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13</Pages>
  <Words>2787</Words>
  <Characters>15053</Characters>
  <Application>Microsoft Office Word</Application>
  <DocSecurity>0</DocSecurity>
  <Lines>125</Lines>
  <Paragraphs>35</Paragraphs>
  <ScaleCrop>false</ScaleCrop>
  <Company/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Katy Lisias</cp:lastModifiedBy>
  <cp:revision>4</cp:revision>
  <dcterms:created xsi:type="dcterms:W3CDTF">2025-09-04T17:45:00Z</dcterms:created>
  <dcterms:modified xsi:type="dcterms:W3CDTF">2025-09-04T22:06:00Z</dcterms:modified>
</cp:coreProperties>
</file>